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1B3EC" w14:textId="5ED66E42" w:rsidR="00317A1C" w:rsidRDefault="00317A1C" w:rsidP="0072413F">
      <w:pPr>
        <w:pStyle w:val="Heading1"/>
      </w:pPr>
      <w:bookmarkStart w:id="0" w:name="_Hlk47181487"/>
      <w:bookmarkEnd w:id="0"/>
      <w:r>
        <w:t>Australia</w:t>
      </w:r>
      <w:r w:rsidR="005C4579">
        <w:t>,</w:t>
      </w:r>
      <w:r w:rsidR="00B3657B">
        <w:t xml:space="preserve"> the global renewable energy pathfinder</w:t>
      </w:r>
    </w:p>
    <w:p w14:paraId="6350B550" w14:textId="624BBAEA" w:rsidR="0072413F" w:rsidRDefault="0072413F" w:rsidP="0072413F">
      <w:r>
        <w:t xml:space="preserve">Andrew Blakers | </w:t>
      </w:r>
      <w:hyperlink r:id="rId6" w:history="1">
        <w:r w:rsidRPr="004657F4">
          <w:rPr>
            <w:rStyle w:val="Hyperlink"/>
          </w:rPr>
          <w:t>Andrew.blakers@anu.edu.au</w:t>
        </w:r>
      </w:hyperlink>
      <w:r>
        <w:t xml:space="preserve"> | 0417 390 139</w:t>
      </w:r>
    </w:p>
    <w:p w14:paraId="78FF3E80" w14:textId="26EAF5F3" w:rsidR="0072413F" w:rsidRDefault="0072413F" w:rsidP="0072413F">
      <w:r>
        <w:t>Ken Baldwin</w:t>
      </w:r>
      <w:r w:rsidR="00C629C1">
        <w:t xml:space="preserve"> | </w:t>
      </w:r>
      <w:hyperlink r:id="rId7" w:history="1">
        <w:r w:rsidR="00C629C1" w:rsidRPr="003C0E2F">
          <w:rPr>
            <w:rStyle w:val="Hyperlink"/>
          </w:rPr>
          <w:t>kenneth.baldwin@anu.edu.au</w:t>
        </w:r>
      </w:hyperlink>
      <w:r w:rsidR="00C629C1">
        <w:t xml:space="preserve"> | </w:t>
      </w:r>
      <w:r w:rsidR="00C629C1" w:rsidRPr="00C629C1">
        <w:t>0432 987 251</w:t>
      </w:r>
    </w:p>
    <w:p w14:paraId="5F5132EF" w14:textId="1F507171" w:rsidR="0072413F" w:rsidRPr="0072413F" w:rsidRDefault="0072413F" w:rsidP="0072413F">
      <w:r>
        <w:t>Matthew Stocks</w:t>
      </w:r>
      <w:r w:rsidR="00C629C1">
        <w:t xml:space="preserve"> | </w:t>
      </w:r>
      <w:hyperlink r:id="rId8" w:history="1">
        <w:r w:rsidR="00C629C1" w:rsidRPr="003C0E2F">
          <w:rPr>
            <w:rStyle w:val="Hyperlink"/>
          </w:rPr>
          <w:t>matthew.stocks@anu.edu.au</w:t>
        </w:r>
      </w:hyperlink>
      <w:r w:rsidR="00C629C1">
        <w:t xml:space="preserve"> | </w:t>
      </w:r>
      <w:r w:rsidR="00C629C1" w:rsidRPr="00C629C1">
        <w:t>0419 370 012</w:t>
      </w:r>
    </w:p>
    <w:p w14:paraId="7527DF98" w14:textId="49AAEC48" w:rsidR="00755166" w:rsidRDefault="00F017B1" w:rsidP="00317A1C">
      <w:r>
        <w:t xml:space="preserve">The </w:t>
      </w:r>
      <w:r w:rsidR="00C2589F">
        <w:t>Australian National University</w:t>
      </w:r>
    </w:p>
    <w:p w14:paraId="00DFC50F" w14:textId="04FCB848" w:rsidR="00B7151E" w:rsidRDefault="00AB1D62" w:rsidP="00B7151E">
      <w:pPr>
        <w:spacing w:before="0" w:after="0"/>
      </w:pPr>
      <w:r>
        <w:t>3</w:t>
      </w:r>
      <w:r w:rsidRPr="00AB1D62">
        <w:rPr>
          <w:vertAlign w:val="superscript"/>
        </w:rPr>
        <w:t>rd</w:t>
      </w:r>
      <w:r>
        <w:t xml:space="preserve"> </w:t>
      </w:r>
      <w:r w:rsidR="00BD0453">
        <w:t>September 2020</w:t>
      </w:r>
    </w:p>
    <w:p w14:paraId="1F3164FE" w14:textId="77777777" w:rsidR="00C119DB" w:rsidRDefault="00C119DB" w:rsidP="004B2B04"/>
    <w:p w14:paraId="490F40BD" w14:textId="16E20864" w:rsidR="00B3657B" w:rsidRDefault="007E5F38" w:rsidP="004B2B04">
      <w:r>
        <w:t xml:space="preserve">Australia’s rapid deployment of renewable energy continues. </w:t>
      </w:r>
      <w:r w:rsidR="00483E61" w:rsidRPr="00483E61">
        <w:t xml:space="preserve">According to the </w:t>
      </w:r>
      <w:r w:rsidR="00620E04" w:rsidRPr="00E50E23">
        <w:t>Clean Energy Regulator</w:t>
      </w:r>
      <w:r w:rsidR="00620E04">
        <w:t xml:space="preserve"> (</w:t>
      </w:r>
      <w:r w:rsidR="00483E61" w:rsidRPr="00483E61">
        <w:t>CER</w:t>
      </w:r>
      <w:r w:rsidR="00620E04">
        <w:t>)</w:t>
      </w:r>
      <w:r w:rsidR="00483E61" w:rsidRPr="00483E61">
        <w:t xml:space="preserve">, total additional delivered capacity of new solar photovoltaics and wind energy in 2020 will be around </w:t>
      </w:r>
      <w:hyperlink r:id="rId9" w:history="1">
        <w:r w:rsidR="00483E61" w:rsidRPr="00AB1D62">
          <w:rPr>
            <w:rStyle w:val="Hyperlink"/>
          </w:rPr>
          <w:t>6.3 GW</w:t>
        </w:r>
      </w:hyperlink>
      <w:r w:rsidR="00483E61" w:rsidRPr="00483E61">
        <w:t>, comprising 3.4 GW of utility scale wind and solar farms accredited and 2.9 GW of installed rooftop solar</w:t>
      </w:r>
      <w:r w:rsidR="00AB1D62">
        <w:t xml:space="preserve">. </w:t>
      </w:r>
      <w:r w:rsidR="00DA34F7">
        <w:t>This brin</w:t>
      </w:r>
      <w:r w:rsidR="00AE21A8">
        <w:t>g</w:t>
      </w:r>
      <w:r w:rsidR="00DA34F7">
        <w:t>s</w:t>
      </w:r>
      <w:r>
        <w:t xml:space="preserve"> the </w:t>
      </w:r>
      <w:r w:rsidRPr="00EC65FF">
        <w:t>total to</w:t>
      </w:r>
      <w:r w:rsidR="00C15195" w:rsidRPr="00EC65FF">
        <w:t xml:space="preserve"> </w:t>
      </w:r>
      <w:r w:rsidR="00DA34F7">
        <w:t>18</w:t>
      </w:r>
      <w:r w:rsidR="00372553" w:rsidRPr="00EC65FF">
        <w:t xml:space="preserve"> </w:t>
      </w:r>
      <w:r w:rsidRPr="00EC65FF">
        <w:t>Gigawatts over 201</w:t>
      </w:r>
      <w:r w:rsidR="00AE21A8" w:rsidRPr="00EC65FF">
        <w:t>8</w:t>
      </w:r>
      <w:r w:rsidRPr="00EC65FF">
        <w:t>-2</w:t>
      </w:r>
      <w:r w:rsidR="00DA34F7">
        <w:t xml:space="preserve">0 and </w:t>
      </w:r>
      <w:r w:rsidR="00372553" w:rsidRPr="00EC65FF">
        <w:t>continues</w:t>
      </w:r>
      <w:r w:rsidR="00372553">
        <w:t xml:space="preserve"> the trend of </w:t>
      </w:r>
      <w:r w:rsidR="00EC65FF">
        <w:t xml:space="preserve">Australia’s </w:t>
      </w:r>
      <w:hyperlink r:id="rId10" w:history="1">
        <w:r w:rsidR="00372553" w:rsidRPr="00872AEC">
          <w:rPr>
            <w:rStyle w:val="Hyperlink"/>
          </w:rPr>
          <w:t>world-leading per capita solar and wind deployment</w:t>
        </w:r>
      </w:hyperlink>
      <w:r>
        <w:t xml:space="preserve">. </w:t>
      </w:r>
      <w:r w:rsidR="00372553">
        <w:t xml:space="preserve"> </w:t>
      </w:r>
    </w:p>
    <w:p w14:paraId="230A97BD" w14:textId="0B4D8FC6" w:rsidR="00F64836" w:rsidRPr="00C629C1" w:rsidRDefault="00F64836" w:rsidP="004B2B04">
      <w:pPr>
        <w:rPr>
          <w:i/>
          <w:iCs/>
        </w:rPr>
      </w:pPr>
      <w:r w:rsidRPr="00C629C1">
        <w:rPr>
          <w:i/>
          <w:iCs/>
        </w:rPr>
        <w:t xml:space="preserve">The new renewable energy capacity is </w:t>
      </w:r>
      <w:r w:rsidR="00EC65FF" w:rsidRPr="00C629C1">
        <w:rPr>
          <w:i/>
          <w:iCs/>
        </w:rPr>
        <w:t xml:space="preserve">strongly </w:t>
      </w:r>
      <w:r w:rsidRPr="00C629C1">
        <w:rPr>
          <w:i/>
          <w:iCs/>
        </w:rPr>
        <w:t xml:space="preserve">reducing </w:t>
      </w:r>
      <w:r w:rsidR="00DB6586" w:rsidRPr="00C629C1">
        <w:rPr>
          <w:i/>
          <w:iCs/>
        </w:rPr>
        <w:t>g</w:t>
      </w:r>
      <w:r w:rsidRPr="00C629C1">
        <w:rPr>
          <w:i/>
          <w:iCs/>
        </w:rPr>
        <w:t xml:space="preserve">reenhouse </w:t>
      </w:r>
      <w:r w:rsidR="00DB6586" w:rsidRPr="00C629C1">
        <w:rPr>
          <w:i/>
          <w:iCs/>
        </w:rPr>
        <w:t xml:space="preserve">gas </w:t>
      </w:r>
      <w:r w:rsidRPr="00C629C1">
        <w:rPr>
          <w:i/>
          <w:iCs/>
        </w:rPr>
        <w:t>emissions in the electricity sector</w:t>
      </w:r>
      <w:r w:rsidR="00EC65FF" w:rsidRPr="00C629C1">
        <w:rPr>
          <w:i/>
          <w:iCs/>
        </w:rPr>
        <w:t xml:space="preserve">. </w:t>
      </w:r>
    </w:p>
    <w:p w14:paraId="666E2696" w14:textId="3B550114" w:rsidR="00D14F4E" w:rsidRDefault="00C15195" w:rsidP="00D14F4E">
      <w:r w:rsidRPr="00177E6A">
        <w:t>Importantly,</w:t>
      </w:r>
      <w:r w:rsidR="000903BE" w:rsidRPr="00177E6A">
        <w:t xml:space="preserve"> increasing renewable energy deployment </w:t>
      </w:r>
      <w:r w:rsidR="00EC65FF" w:rsidRPr="00177E6A">
        <w:t>i</w:t>
      </w:r>
      <w:r w:rsidR="00DB6586" w:rsidRPr="00177E6A">
        <w:t xml:space="preserve">s </w:t>
      </w:r>
      <w:r w:rsidR="003E5654" w:rsidRPr="00177E6A">
        <w:t xml:space="preserve">compatible </w:t>
      </w:r>
      <w:r w:rsidR="00DB6586" w:rsidRPr="00177E6A">
        <w:t>with low</w:t>
      </w:r>
      <w:r w:rsidR="000903BE" w:rsidRPr="00177E6A">
        <w:t xml:space="preserve"> wholesale electricity prices. </w:t>
      </w:r>
      <w:r w:rsidR="001A54DE" w:rsidRPr="00177E6A">
        <w:t>So</w:t>
      </w:r>
      <w:r w:rsidR="00DB6586" w:rsidRPr="00177E6A">
        <w:t xml:space="preserve"> far in 2020 </w:t>
      </w:r>
      <w:hyperlink r:id="rId11" w:history="1">
        <w:r w:rsidR="000903BE" w:rsidRPr="00177E6A">
          <w:rPr>
            <w:rStyle w:val="Hyperlink"/>
          </w:rPr>
          <w:t>5</w:t>
        </w:r>
        <w:r w:rsidR="00DB6586" w:rsidRPr="00177E6A">
          <w:rPr>
            <w:rStyle w:val="Hyperlink"/>
          </w:rPr>
          <w:t>3</w:t>
        </w:r>
        <w:r w:rsidR="000903BE" w:rsidRPr="00177E6A">
          <w:rPr>
            <w:rStyle w:val="Hyperlink"/>
          </w:rPr>
          <w:t>% of South Australia</w:t>
        </w:r>
        <w:r w:rsidR="00F64836" w:rsidRPr="00177E6A">
          <w:rPr>
            <w:rStyle w:val="Hyperlink"/>
          </w:rPr>
          <w:t xml:space="preserve">’s </w:t>
        </w:r>
        <w:r w:rsidR="000903BE" w:rsidRPr="00177E6A">
          <w:rPr>
            <w:rStyle w:val="Hyperlink"/>
          </w:rPr>
          <w:t>electricity</w:t>
        </w:r>
      </w:hyperlink>
      <w:r w:rsidR="000903BE" w:rsidRPr="00177E6A">
        <w:t xml:space="preserve"> c</w:t>
      </w:r>
      <w:r w:rsidR="00DB6586" w:rsidRPr="00177E6A">
        <w:t>a</w:t>
      </w:r>
      <w:r w:rsidR="000903BE" w:rsidRPr="00177E6A">
        <w:t>me from renewable energy (solar and wind) compared with</w:t>
      </w:r>
      <w:r w:rsidR="003E5654" w:rsidRPr="00177E6A">
        <w:t xml:space="preserve"> </w:t>
      </w:r>
      <w:r w:rsidR="00E30FCD" w:rsidRPr="00177E6A">
        <w:t>100% in Tasmania</w:t>
      </w:r>
      <w:r w:rsidR="003E5654" w:rsidRPr="00177E6A">
        <w:t xml:space="preserve"> (hydro and wind)</w:t>
      </w:r>
      <w:r w:rsidR="00E30FCD" w:rsidRPr="00177E6A">
        <w:t>,</w:t>
      </w:r>
      <w:r w:rsidR="000903BE" w:rsidRPr="00177E6A">
        <w:t xml:space="preserve"> 24% in Victoria, 1</w:t>
      </w:r>
      <w:r w:rsidR="001A54DE" w:rsidRPr="00177E6A">
        <w:t>5</w:t>
      </w:r>
      <w:r w:rsidR="000903BE" w:rsidRPr="00177E6A">
        <w:t>% in NSW and 14% in Queensland</w:t>
      </w:r>
      <w:r w:rsidR="00DB6586" w:rsidRPr="00177E6A">
        <w:t>.</w:t>
      </w:r>
      <w:r w:rsidR="000903BE" w:rsidRPr="00177E6A">
        <w:t xml:space="preserve"> So far in 2020, </w:t>
      </w:r>
      <w:r w:rsidR="00F017B1" w:rsidRPr="00177E6A">
        <w:t xml:space="preserve">average </w:t>
      </w:r>
      <w:hyperlink r:id="rId12" w:history="1">
        <w:r w:rsidR="000903BE" w:rsidRPr="00177E6A">
          <w:rPr>
            <w:rStyle w:val="Hyperlink"/>
          </w:rPr>
          <w:t>wholesale electricity prices</w:t>
        </w:r>
      </w:hyperlink>
      <w:r w:rsidR="000903BE" w:rsidRPr="00177E6A">
        <w:t xml:space="preserve"> in South Australia have </w:t>
      </w:r>
      <w:r w:rsidR="001A54DE" w:rsidRPr="00177E6A">
        <w:t>been similar to Queensland</w:t>
      </w:r>
      <w:r w:rsidR="001A54DE" w:rsidRPr="001A54DE">
        <w:t xml:space="preserve"> </w:t>
      </w:r>
      <w:r w:rsidR="001A54DE">
        <w:t xml:space="preserve">and below </w:t>
      </w:r>
      <w:r w:rsidR="000903BE">
        <w:t xml:space="preserve">those </w:t>
      </w:r>
      <w:r w:rsidR="001A54DE">
        <w:t>in NSW and Victoria</w:t>
      </w:r>
      <w:r w:rsidR="00DB6586">
        <w:rPr>
          <w:rStyle w:val="CommentReference"/>
        </w:rPr>
        <w:t>.</w:t>
      </w:r>
      <w:r w:rsidR="000903BE">
        <w:t xml:space="preserve"> </w:t>
      </w:r>
      <w:r w:rsidR="003E5654">
        <w:t xml:space="preserve">Tasmania has the lowest prices. </w:t>
      </w:r>
      <w:r w:rsidR="0068139A">
        <w:t>Australia is reducing emissions AND reducing electricity prices</w:t>
      </w:r>
      <w:r w:rsidR="00F64836">
        <w:t xml:space="preserve">. </w:t>
      </w:r>
    </w:p>
    <w:p w14:paraId="30E7C109" w14:textId="2AE9DBBC" w:rsidR="000903BE" w:rsidRDefault="000903BE" w:rsidP="000903BE">
      <w:r>
        <w:t xml:space="preserve">This good news is tempered by the urgent need </w:t>
      </w:r>
      <w:r w:rsidR="0081630D">
        <w:t>for</w:t>
      </w:r>
      <w:r>
        <w:t xml:space="preserve"> policy action </w:t>
      </w:r>
      <w:r w:rsidR="0081630D">
        <w:t xml:space="preserve">to facilitate </w:t>
      </w:r>
      <w:r w:rsidR="006A7A7B">
        <w:t>additional</w:t>
      </w:r>
      <w:r w:rsidR="0081630D">
        <w:t xml:space="preserve"> </w:t>
      </w:r>
      <w:r w:rsidR="006A7A7B">
        <w:t xml:space="preserve">powerlines </w:t>
      </w:r>
      <w:r w:rsidR="0081630D">
        <w:t xml:space="preserve">to </w:t>
      </w:r>
      <w:r w:rsidR="006504D9">
        <w:t xml:space="preserve">efficiently </w:t>
      </w:r>
      <w:r w:rsidR="0081630D">
        <w:t xml:space="preserve">bring the </w:t>
      </w:r>
      <w:r w:rsidR="006A7A7B">
        <w:t xml:space="preserve">new </w:t>
      </w:r>
      <w:r w:rsidR="0081630D">
        <w:t>solar and wind power to the cities.</w:t>
      </w:r>
      <w:r w:rsidR="0049788F">
        <w:t xml:space="preserve"> </w:t>
      </w:r>
    </w:p>
    <w:p w14:paraId="6755FD95" w14:textId="1340208D" w:rsidR="000903BE" w:rsidRDefault="000903BE" w:rsidP="004B2B04"/>
    <w:p w14:paraId="1E2D821D" w14:textId="6900B286" w:rsidR="0081630D" w:rsidRDefault="006A7A7B" w:rsidP="0081630D">
      <w:pPr>
        <w:pStyle w:val="Heading2"/>
      </w:pPr>
      <w:r>
        <w:t>Australia’s global leadership</w:t>
      </w:r>
    </w:p>
    <w:p w14:paraId="23889FDC" w14:textId="444C4845" w:rsidR="001646B7" w:rsidRDefault="001F6EF1" w:rsidP="004B2B04">
      <w:r>
        <w:t>Solar, wind and hydro</w:t>
      </w:r>
      <w:r w:rsidR="001646B7">
        <w:t xml:space="preserve"> </w:t>
      </w:r>
      <w:r w:rsidR="007E5F38">
        <w:t>comprise</w:t>
      </w:r>
      <w:r w:rsidR="001646B7">
        <w:t xml:space="preserve"> three quarters</w:t>
      </w:r>
      <w:hyperlink r:id="rId13" w:history="1">
        <w:r w:rsidR="001646B7" w:rsidRPr="00695FEE">
          <w:rPr>
            <w:rStyle w:val="Hyperlink"/>
          </w:rPr>
          <w:t xml:space="preserve"> of global net annual capacity additions</w:t>
        </w:r>
      </w:hyperlink>
      <w:r w:rsidR="001646B7">
        <w:t xml:space="preserve">, with fossil and nuclear </w:t>
      </w:r>
      <w:r w:rsidR="005C4579">
        <w:t>energy</w:t>
      </w:r>
      <w:r w:rsidR="001646B7">
        <w:t xml:space="preserve"> accounting for the remaining quarter. In Australia, solar PV and wind </w:t>
      </w:r>
      <w:r w:rsidR="00F304CB">
        <w:t>comprise</w:t>
      </w:r>
      <w:r w:rsidR="001646B7">
        <w:t xml:space="preserve"> </w:t>
      </w:r>
      <w:hyperlink r:id="rId14" w:history="1">
        <w:r w:rsidR="001646B7" w:rsidRPr="00EA537D">
          <w:rPr>
            <w:rStyle w:val="Hyperlink"/>
          </w:rPr>
          <w:t>99% of new generation capacity</w:t>
        </w:r>
      </w:hyperlink>
      <w:r w:rsidR="0081630D">
        <w:t xml:space="preserve"> because </w:t>
      </w:r>
      <w:r>
        <w:t xml:space="preserve">they are </w:t>
      </w:r>
      <w:hyperlink r:id="rId15" w:history="1">
        <w:r w:rsidR="0081630D" w:rsidRPr="00E86E76">
          <w:rPr>
            <w:rStyle w:val="Hyperlink"/>
          </w:rPr>
          <w:t>cheaper</w:t>
        </w:r>
      </w:hyperlink>
      <w:r w:rsidR="0081630D">
        <w:t xml:space="preserve"> than fossil fuel additions. </w:t>
      </w:r>
    </w:p>
    <w:p w14:paraId="5AA1AEEE" w14:textId="7C12DFA5" w:rsidR="005C4579" w:rsidRDefault="005C4579" w:rsidP="004B2B04">
      <w:r>
        <w:rPr>
          <w:noProof/>
        </w:rPr>
        <w:drawing>
          <wp:inline distT="0" distB="0" distL="0" distR="0" wp14:anchorId="3F90B376" wp14:editId="1CD8B13B">
            <wp:extent cx="4432313" cy="2575560"/>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09627" cy="2620486"/>
                    </a:xfrm>
                    <a:prstGeom prst="rect">
                      <a:avLst/>
                    </a:prstGeom>
                    <a:noFill/>
                  </pic:spPr>
                </pic:pic>
              </a:graphicData>
            </a:graphic>
          </wp:inline>
        </w:drawing>
      </w:r>
    </w:p>
    <w:p w14:paraId="7B1AB220" w14:textId="0D722FD9" w:rsidR="00871CFB" w:rsidRPr="00871CFB" w:rsidRDefault="00871CFB" w:rsidP="004B2B04">
      <w:pPr>
        <w:rPr>
          <w:i/>
          <w:iCs/>
        </w:rPr>
      </w:pPr>
      <w:r w:rsidRPr="00871CFB">
        <w:rPr>
          <w:i/>
          <w:iCs/>
        </w:rPr>
        <w:t xml:space="preserve">Figure </w:t>
      </w:r>
      <w:r w:rsidR="00F64836">
        <w:rPr>
          <w:i/>
          <w:iCs/>
        </w:rPr>
        <w:t>1</w:t>
      </w:r>
      <w:r w:rsidRPr="00871CFB">
        <w:rPr>
          <w:i/>
          <w:iCs/>
        </w:rPr>
        <w:t>: net new global generation capacity additions</w:t>
      </w:r>
      <w:r>
        <w:rPr>
          <w:i/>
          <w:iCs/>
        </w:rPr>
        <w:t xml:space="preserve"> showing the dominance of solar and wind</w:t>
      </w:r>
    </w:p>
    <w:p w14:paraId="0768A7CB" w14:textId="77777777" w:rsidR="007E5F38" w:rsidRDefault="007E5F38" w:rsidP="004B2B04"/>
    <w:p w14:paraId="500C5EE0" w14:textId="6FA2C5EA" w:rsidR="00300C76" w:rsidRDefault="00226DBC" w:rsidP="00C34F88">
      <w:r>
        <w:t xml:space="preserve">Australia is leading the world in per capita deployment of solar and wind. </w:t>
      </w:r>
      <w:r w:rsidR="001A54DE">
        <w:t>In</w:t>
      </w:r>
      <w:r w:rsidR="00E539A6">
        <w:t xml:space="preserve"> </w:t>
      </w:r>
      <w:r w:rsidR="007E5F38">
        <w:t xml:space="preserve">2019, </w:t>
      </w:r>
      <w:r w:rsidR="00300C76">
        <w:t xml:space="preserve">Australia </w:t>
      </w:r>
      <w:hyperlink r:id="rId17" w:history="1">
        <w:r w:rsidR="00300C76" w:rsidRPr="001A54DE">
          <w:rPr>
            <w:rStyle w:val="Hyperlink"/>
          </w:rPr>
          <w:t>deploy</w:t>
        </w:r>
        <w:r w:rsidR="00E539A6" w:rsidRPr="001A54DE">
          <w:rPr>
            <w:rStyle w:val="Hyperlink"/>
          </w:rPr>
          <w:t xml:space="preserve">ed </w:t>
        </w:r>
        <w:r w:rsidR="00300C76" w:rsidRPr="001A54DE">
          <w:rPr>
            <w:rStyle w:val="Hyperlink"/>
          </w:rPr>
          <w:t>new renewable energy</w:t>
        </w:r>
      </w:hyperlink>
      <w:r w:rsidR="00300C76">
        <w:t xml:space="preserve"> 10 times faster per capita than the global average and 4 times faster per capita than in Europe, China, Japan or the USA. </w:t>
      </w:r>
      <w:r w:rsidR="007E5F38" w:rsidRPr="00052491">
        <w:t>Australia</w:t>
      </w:r>
      <w:r w:rsidR="007E5F38">
        <w:t xml:space="preserve"> </w:t>
      </w:r>
      <w:r w:rsidR="006F65DE">
        <w:t xml:space="preserve">(per capita) </w:t>
      </w:r>
      <w:r w:rsidR="007E5F38">
        <w:t>has</w:t>
      </w:r>
      <w:r w:rsidR="006F65DE">
        <w:t xml:space="preserve"> the m</w:t>
      </w:r>
      <w:r w:rsidR="007E5F38">
        <w:t>ost installed solar PV</w:t>
      </w:r>
      <w:r w:rsidR="006F65DE">
        <w:t>, the f</w:t>
      </w:r>
      <w:r w:rsidR="007E5F38">
        <w:t xml:space="preserve">astest deployment speed of solar PV </w:t>
      </w:r>
      <w:r w:rsidR="006F65DE">
        <w:t>and the f</w:t>
      </w:r>
      <w:r w:rsidR="007E5F38">
        <w:t>astest combined deployment speed of solar PV and wind</w:t>
      </w:r>
      <w:r w:rsidR="006F65DE">
        <w:t>.</w:t>
      </w:r>
      <w:r w:rsidR="00C34F88" w:rsidRPr="00C34F88">
        <w:t xml:space="preserve"> </w:t>
      </w:r>
    </w:p>
    <w:p w14:paraId="11B1E4AA" w14:textId="4F7FEF05" w:rsidR="001646B7" w:rsidRDefault="00C34F88" w:rsidP="006F65DE">
      <w:r>
        <w:t xml:space="preserve">The Australian experience is replicable in </w:t>
      </w:r>
      <w:r w:rsidR="001216B9">
        <w:t xml:space="preserve">most </w:t>
      </w:r>
      <w:r>
        <w:t xml:space="preserve">other countries. Australia is a </w:t>
      </w:r>
      <w:hyperlink r:id="rId18" w:history="1">
        <w:r w:rsidRPr="00936B42">
          <w:rPr>
            <w:rStyle w:val="Hyperlink"/>
          </w:rPr>
          <w:t>pathfinder</w:t>
        </w:r>
      </w:hyperlink>
      <w:r>
        <w:t xml:space="preserve"> for the three quarters of humanity who live in the sunbelt where most of the </w:t>
      </w:r>
      <w:r w:rsidR="00E539A6">
        <w:t xml:space="preserve">world’s </w:t>
      </w:r>
      <w:r>
        <w:t xml:space="preserve">growth in population, energy use and Greenhouse emissions are occurring.  </w:t>
      </w:r>
    </w:p>
    <w:p w14:paraId="43FE2C5B" w14:textId="52FC96B9" w:rsidR="0081630D" w:rsidRDefault="00DA34F7" w:rsidP="0081630D">
      <w:r>
        <w:rPr>
          <w:noProof/>
        </w:rPr>
        <w:drawing>
          <wp:inline distT="0" distB="0" distL="0" distR="0" wp14:anchorId="6E943DA8" wp14:editId="7884200B">
            <wp:extent cx="6369685" cy="3241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394550" cy="3253757"/>
                    </a:xfrm>
                    <a:prstGeom prst="rect">
                      <a:avLst/>
                    </a:prstGeom>
                    <a:noFill/>
                  </pic:spPr>
                </pic:pic>
              </a:graphicData>
            </a:graphic>
          </wp:inline>
        </w:drawing>
      </w:r>
    </w:p>
    <w:p w14:paraId="3CBC1E53" w14:textId="654B8B85" w:rsidR="0081630D" w:rsidRDefault="0081630D" w:rsidP="0081630D">
      <w:pPr>
        <w:rPr>
          <w:i/>
          <w:iCs/>
        </w:rPr>
      </w:pPr>
      <w:r w:rsidRPr="00023F46">
        <w:rPr>
          <w:i/>
          <w:iCs/>
        </w:rPr>
        <w:t xml:space="preserve">Figure </w:t>
      </w:r>
      <w:r w:rsidR="00F64836">
        <w:rPr>
          <w:i/>
          <w:iCs/>
        </w:rPr>
        <w:t>2</w:t>
      </w:r>
      <w:r w:rsidRPr="00023F46">
        <w:rPr>
          <w:i/>
          <w:iCs/>
        </w:rPr>
        <w:t xml:space="preserve">: Deployment </w:t>
      </w:r>
      <w:r>
        <w:rPr>
          <w:i/>
          <w:iCs/>
        </w:rPr>
        <w:t>speed of PV and wind</w:t>
      </w:r>
      <w:r w:rsidR="00D03B87">
        <w:rPr>
          <w:i/>
          <w:iCs/>
        </w:rPr>
        <w:t xml:space="preserve"> for 2018 (red) and 2019 (green)</w:t>
      </w:r>
      <w:r>
        <w:rPr>
          <w:i/>
          <w:iCs/>
        </w:rPr>
        <w:t xml:space="preserve"> </w:t>
      </w:r>
      <w:r w:rsidRPr="00023F46">
        <w:rPr>
          <w:i/>
          <w:iCs/>
        </w:rPr>
        <w:t xml:space="preserve">in terms of Watts per person per year </w:t>
      </w:r>
      <w:r>
        <w:rPr>
          <w:i/>
          <w:iCs/>
        </w:rPr>
        <w:t>[</w:t>
      </w:r>
      <w:hyperlink r:id="rId20" w:history="1">
        <w:r w:rsidRPr="000F681F">
          <w:rPr>
            <w:rStyle w:val="Hyperlink"/>
            <w:i/>
            <w:iCs/>
          </w:rPr>
          <w:t>IRENA</w:t>
        </w:r>
      </w:hyperlink>
      <w:r>
        <w:rPr>
          <w:i/>
          <w:iCs/>
        </w:rPr>
        <w:t>]</w:t>
      </w:r>
      <w:r w:rsidR="00D03B87">
        <w:rPr>
          <w:i/>
          <w:iCs/>
        </w:rPr>
        <w:t xml:space="preserve">. The estimate for </w:t>
      </w:r>
      <w:r w:rsidR="00124E40">
        <w:rPr>
          <w:i/>
          <w:iCs/>
        </w:rPr>
        <w:t xml:space="preserve">Australia in </w:t>
      </w:r>
      <w:r w:rsidR="00D03B87">
        <w:rPr>
          <w:i/>
          <w:iCs/>
        </w:rPr>
        <w:t xml:space="preserve">2020 </w:t>
      </w:r>
      <w:r w:rsidR="006F51F4">
        <w:rPr>
          <w:i/>
          <w:iCs/>
        </w:rPr>
        <w:t xml:space="preserve">(blue) </w:t>
      </w:r>
      <w:r w:rsidR="00D03B87">
        <w:rPr>
          <w:i/>
          <w:iCs/>
        </w:rPr>
        <w:t>from the Clean Energy Regulator is also included.</w:t>
      </w:r>
    </w:p>
    <w:p w14:paraId="253798D6" w14:textId="77777777" w:rsidR="00300C76" w:rsidRDefault="00300C76" w:rsidP="00300C76"/>
    <w:p w14:paraId="6778B2C8" w14:textId="5F3EAA18" w:rsidR="00586E12" w:rsidRDefault="00C15195" w:rsidP="00C15195">
      <w:r>
        <w:t>South Australia</w:t>
      </w:r>
      <w:r w:rsidR="00905A03">
        <w:t xml:space="preserve">, with </w:t>
      </w:r>
      <w:hyperlink r:id="rId21" w:history="1">
        <w:r w:rsidRPr="00785BA9">
          <w:rPr>
            <w:rStyle w:val="Hyperlink"/>
          </w:rPr>
          <w:t>5</w:t>
        </w:r>
        <w:r w:rsidR="00905A03">
          <w:rPr>
            <w:rStyle w:val="Hyperlink"/>
          </w:rPr>
          <w:t>3</w:t>
        </w:r>
        <w:r w:rsidRPr="00300C76">
          <w:rPr>
            <w:rStyle w:val="Hyperlink"/>
          </w:rPr>
          <w:t>% generation from solar and wind</w:t>
        </w:r>
      </w:hyperlink>
      <w:r w:rsidR="00905A03">
        <w:rPr>
          <w:rStyle w:val="Hyperlink"/>
        </w:rPr>
        <w:t xml:space="preserve"> </w:t>
      </w:r>
      <w:r w:rsidR="00785BA9">
        <w:t xml:space="preserve">is </w:t>
      </w:r>
      <w:r w:rsidR="00F64836">
        <w:t>an</w:t>
      </w:r>
      <w:r>
        <w:t xml:space="preserve"> important global exemplar of a rapid solar </w:t>
      </w:r>
      <w:r w:rsidR="00521E9D">
        <w:t>and</w:t>
      </w:r>
      <w:r>
        <w:t xml:space="preserve"> wind energy transition. </w:t>
      </w:r>
      <w:r w:rsidR="006F51F4">
        <w:t xml:space="preserve">Few locations can match such a rapid and sustained </w:t>
      </w:r>
      <w:r w:rsidR="003E5654">
        <w:t>growth in renewable energy.</w:t>
      </w:r>
    </w:p>
    <w:p w14:paraId="64ABF4CA" w14:textId="62677E19" w:rsidR="00586E12" w:rsidRDefault="00586E12" w:rsidP="00C15195">
      <w:r>
        <w:rPr>
          <w:noProof/>
        </w:rPr>
        <w:lastRenderedPageBreak/>
        <w:drawing>
          <wp:inline distT="0" distB="0" distL="0" distR="0" wp14:anchorId="390A8373" wp14:editId="511C0EE1">
            <wp:extent cx="6274660" cy="35718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16704" cy="3595808"/>
                    </a:xfrm>
                    <a:prstGeom prst="rect">
                      <a:avLst/>
                    </a:prstGeom>
                    <a:noFill/>
                  </pic:spPr>
                </pic:pic>
              </a:graphicData>
            </a:graphic>
          </wp:inline>
        </w:drawing>
      </w:r>
    </w:p>
    <w:p w14:paraId="099551E6" w14:textId="455F9E78" w:rsidR="00C15195" w:rsidRPr="007B6E68" w:rsidRDefault="00C15195" w:rsidP="00C15195">
      <w:pPr>
        <w:rPr>
          <w:i/>
          <w:iCs/>
        </w:rPr>
      </w:pPr>
      <w:r w:rsidRPr="007B6E68">
        <w:rPr>
          <w:i/>
          <w:iCs/>
        </w:rPr>
        <w:t xml:space="preserve">Figure </w:t>
      </w:r>
      <w:r w:rsidR="00B4638F">
        <w:rPr>
          <w:i/>
          <w:iCs/>
        </w:rPr>
        <w:t>3</w:t>
      </w:r>
      <w:r w:rsidRPr="007B6E68">
        <w:rPr>
          <w:i/>
          <w:iCs/>
        </w:rPr>
        <w:t xml:space="preserve">: </w:t>
      </w:r>
      <w:r>
        <w:rPr>
          <w:i/>
          <w:iCs/>
        </w:rPr>
        <w:t xml:space="preserve">Solar and wind electricity </w:t>
      </w:r>
      <w:hyperlink r:id="rId23" w:history="1">
        <w:r w:rsidRPr="00905A03">
          <w:rPr>
            <w:rStyle w:val="Hyperlink"/>
            <w:i/>
            <w:iCs/>
          </w:rPr>
          <w:t>generation in South Australia</w:t>
        </w:r>
      </w:hyperlink>
      <w:r>
        <w:rPr>
          <w:i/>
          <w:iCs/>
        </w:rPr>
        <w:t xml:space="preserve"> </w:t>
      </w:r>
      <w:r w:rsidR="00451193">
        <w:rPr>
          <w:i/>
          <w:iCs/>
        </w:rPr>
        <w:t>will reach</w:t>
      </w:r>
      <w:r w:rsidR="00905A03">
        <w:rPr>
          <w:i/>
          <w:iCs/>
        </w:rPr>
        <w:t xml:space="preserve"> </w:t>
      </w:r>
      <w:r w:rsidR="00451193">
        <w:rPr>
          <w:i/>
          <w:iCs/>
        </w:rPr>
        <w:t>6</w:t>
      </w:r>
      <w:r w:rsidR="00905A03">
        <w:rPr>
          <w:i/>
          <w:iCs/>
        </w:rPr>
        <w:t>0% in 20</w:t>
      </w:r>
      <w:r w:rsidR="00451193">
        <w:rPr>
          <w:i/>
          <w:iCs/>
        </w:rPr>
        <w:t>20</w:t>
      </w:r>
    </w:p>
    <w:p w14:paraId="4073A48B" w14:textId="77777777" w:rsidR="00C15195" w:rsidRDefault="00C15195" w:rsidP="00C15195"/>
    <w:p w14:paraId="038C627D" w14:textId="71C1D206" w:rsidR="00C15195" w:rsidRPr="00695FEE" w:rsidRDefault="00557090" w:rsidP="00C15195">
      <w:pPr>
        <w:pStyle w:val="Heading2"/>
      </w:pPr>
      <w:r>
        <w:t>Solar</w:t>
      </w:r>
      <w:r w:rsidR="00C15195" w:rsidRPr="00695FEE">
        <w:t xml:space="preserve"> and wind in Australia</w:t>
      </w:r>
    </w:p>
    <w:p w14:paraId="1156619B" w14:textId="539FF094" w:rsidR="00C43906" w:rsidRDefault="00C7513B" w:rsidP="00C43906">
      <w:r>
        <w:t>According to</w:t>
      </w:r>
      <w:r w:rsidR="00E50E23">
        <w:t xml:space="preserve"> the CER, </w:t>
      </w:r>
      <w:r w:rsidR="00C15195" w:rsidRPr="00695FEE">
        <w:t xml:space="preserve">Australia </w:t>
      </w:r>
      <w:r w:rsidR="00785BA9">
        <w:t>i</w:t>
      </w:r>
      <w:r w:rsidR="00C15195" w:rsidRPr="00695FEE">
        <w:t xml:space="preserve">s </w:t>
      </w:r>
      <w:r w:rsidR="00BD2E04">
        <w:t xml:space="preserve">accrediting and </w:t>
      </w:r>
      <w:r w:rsidR="00C15195" w:rsidRPr="00695FEE">
        <w:t>deploy</w:t>
      </w:r>
      <w:r w:rsidR="00785BA9">
        <w:t xml:space="preserve">ing </w:t>
      </w:r>
      <w:r w:rsidR="00BD2E04">
        <w:t xml:space="preserve">an average of </w:t>
      </w:r>
      <w:hyperlink r:id="rId24" w:history="1">
        <w:r w:rsidR="00BD2E04" w:rsidRPr="00AB1D62">
          <w:rPr>
            <w:rStyle w:val="Hyperlink"/>
          </w:rPr>
          <w:t>6</w:t>
        </w:r>
        <w:r w:rsidR="00785BA9" w:rsidRPr="00AB1D62">
          <w:rPr>
            <w:rStyle w:val="Hyperlink"/>
          </w:rPr>
          <w:t xml:space="preserve"> Gigawatts </w:t>
        </w:r>
        <w:r w:rsidR="00BD2E04" w:rsidRPr="00AB1D62">
          <w:rPr>
            <w:rStyle w:val="Hyperlink"/>
          </w:rPr>
          <w:t>per year</w:t>
        </w:r>
      </w:hyperlink>
      <w:r w:rsidR="00BD2E04">
        <w:t xml:space="preserve"> </w:t>
      </w:r>
      <w:r w:rsidR="00C15195" w:rsidRPr="00695FEE">
        <w:t>of new solar and wind energy</w:t>
      </w:r>
      <w:r w:rsidR="00785BA9">
        <w:t xml:space="preserve"> over 2018-202</w:t>
      </w:r>
      <w:r w:rsidR="007A1156">
        <w:t>0</w:t>
      </w:r>
      <w:r>
        <w:t>,</w:t>
      </w:r>
      <w:r w:rsidR="00785BA9">
        <w:t xml:space="preserve"> </w:t>
      </w:r>
      <w:r w:rsidR="00BD2E04">
        <w:t xml:space="preserve">which is 5 times faster than the years 2014-16. </w:t>
      </w:r>
      <w:r w:rsidR="00C43906">
        <w:t xml:space="preserve">The </w:t>
      </w:r>
      <w:r w:rsidR="003E5654">
        <w:t xml:space="preserve">CER expects the </w:t>
      </w:r>
      <w:r w:rsidR="00C43906">
        <w:t xml:space="preserve">rooftop solar market to grow by 40% to 2.9 Gigawatts in 2020. </w:t>
      </w:r>
      <w:r w:rsidR="003E5654">
        <w:t>According to the CER a</w:t>
      </w:r>
      <w:r w:rsidR="00C43906">
        <w:t>bout 12 Gigawatts of rooftop solar has been installed, and nearly 30% of suitable dwellings have a rooftop solar system.</w:t>
      </w:r>
    </w:p>
    <w:p w14:paraId="438AA034" w14:textId="551BEA0D" w:rsidR="00C43906" w:rsidRDefault="00BD2E04" w:rsidP="00C15195">
      <w:r>
        <w:t xml:space="preserve">The </w:t>
      </w:r>
      <w:r w:rsidR="003E5654">
        <w:t>CER</w:t>
      </w:r>
      <w:r>
        <w:t xml:space="preserve"> </w:t>
      </w:r>
      <w:r w:rsidR="004B706D">
        <w:t>reports</w:t>
      </w:r>
      <w:r>
        <w:t xml:space="preserve"> </w:t>
      </w:r>
      <w:r w:rsidR="004B706D">
        <w:t xml:space="preserve">that the pipeline of new </w:t>
      </w:r>
      <w:r w:rsidR="00EE47B1">
        <w:t xml:space="preserve">wind </w:t>
      </w:r>
      <w:r w:rsidR="00C43906">
        <w:t xml:space="preserve">and solar </w:t>
      </w:r>
      <w:r w:rsidR="00EE47B1">
        <w:t>farm projects</w:t>
      </w:r>
      <w:r w:rsidR="004B706D">
        <w:t xml:space="preserve"> remains strong until at least 2022</w:t>
      </w:r>
      <w:r w:rsidR="00EE47B1">
        <w:t xml:space="preserve">. On the </w:t>
      </w:r>
      <w:r w:rsidR="003E5654">
        <w:t xml:space="preserve">one hand, </w:t>
      </w:r>
      <w:r w:rsidR="003A5EB5">
        <w:t>deployment is being affected by</w:t>
      </w:r>
      <w:r w:rsidR="00C43906">
        <w:t xml:space="preserve"> </w:t>
      </w:r>
      <w:r w:rsidR="00EE47B1">
        <w:t>lower prices for wholesale electricity</w:t>
      </w:r>
      <w:r w:rsidR="00C43906">
        <w:t xml:space="preserve">, the attainment of the </w:t>
      </w:r>
      <w:hyperlink r:id="rId25" w:history="1">
        <w:r w:rsidR="00C43906" w:rsidRPr="00C43906">
          <w:rPr>
            <w:rStyle w:val="Hyperlink"/>
          </w:rPr>
          <w:t>Renewable Energy Target</w:t>
        </w:r>
      </w:hyperlink>
      <w:r w:rsidR="00EE47B1">
        <w:t xml:space="preserve"> and curtailment of output due to transmission bottlenecks. On the other hand, </w:t>
      </w:r>
      <w:r w:rsidR="004B706D">
        <w:t>there are</w:t>
      </w:r>
      <w:r w:rsidR="00EE47B1">
        <w:t xml:space="preserve"> </w:t>
      </w:r>
      <w:r w:rsidR="00C43906">
        <w:t xml:space="preserve">continually falling costs, </w:t>
      </w:r>
      <w:r w:rsidR="00EE47B1">
        <w:t>deployment of solar and wind at mining projects, solar on commercial building rooftops</w:t>
      </w:r>
      <w:r w:rsidR="00EC65FF">
        <w:t xml:space="preserve">, </w:t>
      </w:r>
      <w:r w:rsidR="004B706D">
        <w:t xml:space="preserve">large-scale </w:t>
      </w:r>
      <w:r w:rsidR="007674D8">
        <w:t>voluntary purchases of clean electricity</w:t>
      </w:r>
      <w:r w:rsidR="00EC65FF">
        <w:t xml:space="preserve"> and future retirement of coal power stations</w:t>
      </w:r>
      <w:r w:rsidR="00C7513B">
        <w:t>.</w:t>
      </w:r>
      <w:r w:rsidR="007674D8">
        <w:t xml:space="preserve"> </w:t>
      </w:r>
    </w:p>
    <w:p w14:paraId="00F053EC" w14:textId="359FBBB8" w:rsidR="002C3BAB" w:rsidRDefault="002C3BAB" w:rsidP="00C15195">
      <w:r>
        <w:t xml:space="preserve">Stronger </w:t>
      </w:r>
      <w:r w:rsidR="007674D8">
        <w:t>transmission</w:t>
      </w:r>
      <w:r w:rsidR="007A1156">
        <w:t xml:space="preserve"> </w:t>
      </w:r>
      <w:r w:rsidR="003A5EB5">
        <w:t>is</w:t>
      </w:r>
      <w:r w:rsidR="007674D8">
        <w:t xml:space="preserve"> </w:t>
      </w:r>
      <w:r w:rsidR="007A1156">
        <w:t>urgently needed</w:t>
      </w:r>
      <w:r w:rsidR="007674D8">
        <w:t xml:space="preserve"> to bring new solar and wind power to </w:t>
      </w:r>
      <w:r>
        <w:t xml:space="preserve">the </w:t>
      </w:r>
      <w:r w:rsidR="007674D8">
        <w:t>cities.</w:t>
      </w:r>
      <w:r>
        <w:t xml:space="preserve"> An effective way to do this is to upgrade transmission lines from rural </w:t>
      </w:r>
      <w:hyperlink r:id="rId26" w:history="1">
        <w:r w:rsidRPr="00C7513B">
          <w:rPr>
            <w:rStyle w:val="Hyperlink"/>
          </w:rPr>
          <w:t>Renewable Energy Zones</w:t>
        </w:r>
      </w:hyperlink>
      <w:r>
        <w:t xml:space="preserve"> to cities.</w:t>
      </w:r>
      <w:r w:rsidRPr="001A54DE">
        <w:t xml:space="preserve"> </w:t>
      </w:r>
    </w:p>
    <w:p w14:paraId="51FBDB34" w14:textId="4BF14701" w:rsidR="004A225A" w:rsidRDefault="007A1156" w:rsidP="00C15195">
      <w:r>
        <w:t>Government</w:t>
      </w:r>
      <w:r w:rsidR="003A5EB5">
        <w:t>s have</w:t>
      </w:r>
      <w:r w:rsidR="002C3BAB">
        <w:t xml:space="preserve"> been slow to act on transmission. A determined effort </w:t>
      </w:r>
      <w:r w:rsidR="003A5EB5">
        <w:t>by Federal and</w:t>
      </w:r>
      <w:r>
        <w:t xml:space="preserve"> </w:t>
      </w:r>
      <w:r w:rsidR="00EE47B1">
        <w:t>State Government</w:t>
      </w:r>
      <w:r w:rsidR="007674D8">
        <w:t xml:space="preserve">s </w:t>
      </w:r>
      <w:r w:rsidR="002C3BAB">
        <w:t>could resolve transmission bottlenecks</w:t>
      </w:r>
      <w:r w:rsidR="00C34F29">
        <w:t xml:space="preserve"> </w:t>
      </w:r>
      <w:r w:rsidR="00D55475">
        <w:t xml:space="preserve">by </w:t>
      </w:r>
      <w:r w:rsidR="00C34F29">
        <w:t xml:space="preserve">getting ahead of the solar and wind construction curve instead of </w:t>
      </w:r>
      <w:r w:rsidR="003E5654">
        <w:t xml:space="preserve">lagging </w:t>
      </w:r>
      <w:r w:rsidR="00C34F29">
        <w:t>behind it</w:t>
      </w:r>
      <w:r w:rsidR="00D55475">
        <w:t>!</w:t>
      </w:r>
    </w:p>
    <w:p w14:paraId="41DCD871" w14:textId="6646DED5" w:rsidR="009E1C67" w:rsidRDefault="009E1C67" w:rsidP="00C15195">
      <w:r>
        <w:t xml:space="preserve">The Australian Energy Market Operator’s </w:t>
      </w:r>
      <w:r w:rsidRPr="004E3DF0">
        <w:t xml:space="preserve">2020 </w:t>
      </w:r>
      <w:hyperlink r:id="rId27" w:history="1">
        <w:r w:rsidRPr="00D14F4E">
          <w:rPr>
            <w:rStyle w:val="Hyperlink"/>
          </w:rPr>
          <w:t>Integrated System Plan</w:t>
        </w:r>
      </w:hyperlink>
      <w:r>
        <w:t xml:space="preserve"> is a guide to the changes needed in the electricity system to adapt to increasing levels of solar and wind power. The most ambitious scenario is called “Step Change” and envisages </w:t>
      </w:r>
      <w:r w:rsidRPr="007510F7">
        <w:t xml:space="preserve">90% renewable electricity by the late 2030s. </w:t>
      </w:r>
      <w:r w:rsidRPr="009E1C67">
        <w:t xml:space="preserve">However, Australia is installing about 6 Gigawatts of new solar PV and wind each year which already places us on the Step Change scenario path. </w:t>
      </w:r>
      <w:r>
        <w:t xml:space="preserve">It would </w:t>
      </w:r>
      <w:r w:rsidR="003E5654">
        <w:t xml:space="preserve">therefore </w:t>
      </w:r>
      <w:r>
        <w:t>be prudent to model much more ambitious scenarios.</w:t>
      </w:r>
    </w:p>
    <w:p w14:paraId="4BC22A59" w14:textId="31D1A547" w:rsidR="00CD3EAF" w:rsidRDefault="00557090" w:rsidP="00C15195">
      <w:r w:rsidRPr="00695FEE">
        <w:lastRenderedPageBreak/>
        <w:t xml:space="preserve">The renewable energy industry </w:t>
      </w:r>
      <w:r w:rsidR="00785BA9">
        <w:t>is a big business</w:t>
      </w:r>
      <w:r w:rsidR="00CD1696">
        <w:t xml:space="preserve"> and growing</w:t>
      </w:r>
      <w:r w:rsidR="00785BA9">
        <w:t xml:space="preserve">. It </w:t>
      </w:r>
      <w:r w:rsidR="00CD1696">
        <w:t xml:space="preserve">already </w:t>
      </w:r>
      <w:r w:rsidRPr="00695FEE">
        <w:t xml:space="preserve">employs about </w:t>
      </w:r>
      <w:hyperlink r:id="rId28" w:history="1">
        <w:r w:rsidRPr="00695FEE">
          <w:rPr>
            <w:rStyle w:val="Hyperlink"/>
          </w:rPr>
          <w:t>27,000 people</w:t>
        </w:r>
      </w:hyperlink>
      <w:r>
        <w:t xml:space="preserve"> and t</w:t>
      </w:r>
      <w:r w:rsidR="00C15195" w:rsidRPr="00695FEE">
        <w:t>he financial value is around $8 billion per year</w:t>
      </w:r>
      <w:r w:rsidR="00785BA9">
        <w:t xml:space="preserve">, </w:t>
      </w:r>
      <w:r>
        <w:t>a significant fraction</w:t>
      </w:r>
      <w:r w:rsidR="00C15195" w:rsidRPr="00695FEE">
        <w:t xml:space="preserve"> of which is spent within </w:t>
      </w:r>
      <w:r w:rsidR="00D14F4E">
        <w:t xml:space="preserve">rural </w:t>
      </w:r>
      <w:r w:rsidR="00C15195" w:rsidRPr="00695FEE">
        <w:t>Australia</w:t>
      </w:r>
      <w:r w:rsidR="00785BA9">
        <w:t xml:space="preserve"> on wind farms, solar farms, transmission and storage</w:t>
      </w:r>
      <w:r w:rsidR="00C15195" w:rsidRPr="00695FEE">
        <w:t xml:space="preserve">. </w:t>
      </w:r>
    </w:p>
    <w:p w14:paraId="13A88F8A" w14:textId="017A945D" w:rsidR="00E346F3" w:rsidRDefault="00C15195" w:rsidP="004B2B04">
      <w:r w:rsidRPr="00695FEE">
        <w:t xml:space="preserve">The </w:t>
      </w:r>
      <w:hyperlink r:id="rId29" w:history="1">
        <w:r w:rsidRPr="00F31007">
          <w:rPr>
            <w:rStyle w:val="Hyperlink"/>
          </w:rPr>
          <w:t>renewable energy fraction</w:t>
        </w:r>
      </w:hyperlink>
      <w:r w:rsidRPr="00695FEE">
        <w:t xml:space="preserve"> of the National Electricity </w:t>
      </w:r>
      <w:r w:rsidR="00557090">
        <w:t>M</w:t>
      </w:r>
      <w:r w:rsidRPr="00695FEE">
        <w:t>arket increased from 1</w:t>
      </w:r>
      <w:r w:rsidR="009A191F">
        <w:t>5.5</w:t>
      </w:r>
      <w:r w:rsidRPr="00695FEE">
        <w:t>% in 2017 to 2</w:t>
      </w:r>
      <w:r w:rsidR="009A191F">
        <w:t>2.3</w:t>
      </w:r>
      <w:r w:rsidRPr="00695FEE">
        <w:t>% in 20</w:t>
      </w:r>
      <w:r w:rsidR="009A191F">
        <w:t>19</w:t>
      </w:r>
      <w:r w:rsidRPr="00695FEE">
        <w:t xml:space="preserve"> and is likely to </w:t>
      </w:r>
      <w:r w:rsidR="00F31007">
        <w:t>rapidly increase in future years</w:t>
      </w:r>
      <w:r w:rsidR="006F65DE">
        <w:t xml:space="preserve"> (Figure </w:t>
      </w:r>
      <w:r w:rsidR="00BB7DEC">
        <w:t>4</w:t>
      </w:r>
      <w:r w:rsidR="006F65DE">
        <w:t>)</w:t>
      </w:r>
      <w:r w:rsidR="00CD3EAF">
        <w:t>. This</w:t>
      </w:r>
      <w:r w:rsidR="006A7A7B">
        <w:t xml:space="preserve"> is causing </w:t>
      </w:r>
      <w:r w:rsidR="006F65DE">
        <w:t xml:space="preserve">coal generation to decline </w:t>
      </w:r>
      <w:r w:rsidR="006A7A7B">
        <w:t>in the National Electricity Market</w:t>
      </w:r>
      <w:r w:rsidR="00D14F4E">
        <w:t>.</w:t>
      </w:r>
      <w:r w:rsidR="006A7A7B">
        <w:t xml:space="preserve"> </w:t>
      </w:r>
      <w:r w:rsidR="006F65DE">
        <w:t>C</w:t>
      </w:r>
      <w:r w:rsidR="006A7A7B">
        <w:t xml:space="preserve">ontinuing </w:t>
      </w:r>
      <w:hyperlink r:id="rId30" w:history="1">
        <w:r w:rsidR="006A7A7B" w:rsidRPr="006F65DE">
          <w:rPr>
            <w:rStyle w:val="Hyperlink"/>
          </w:rPr>
          <w:t>declines</w:t>
        </w:r>
      </w:hyperlink>
      <w:r w:rsidR="006A7A7B">
        <w:t xml:space="preserve"> in the price of solar and wind may cause a wave of </w:t>
      </w:r>
      <w:r w:rsidR="003E5654">
        <w:t xml:space="preserve">early </w:t>
      </w:r>
      <w:r w:rsidR="006F65DE">
        <w:t xml:space="preserve">coal </w:t>
      </w:r>
      <w:r w:rsidR="00182CCB">
        <w:t xml:space="preserve">generator </w:t>
      </w:r>
      <w:r w:rsidR="006A7A7B">
        <w:t>retirements during the 2020s.</w:t>
      </w:r>
    </w:p>
    <w:p w14:paraId="78AA1A60" w14:textId="4D95140C" w:rsidR="00E346F3" w:rsidRDefault="005729ED" w:rsidP="004B2B04">
      <w:r>
        <w:rPr>
          <w:noProof/>
        </w:rPr>
        <w:drawing>
          <wp:inline distT="0" distB="0" distL="0" distR="0" wp14:anchorId="1BA0CD54" wp14:editId="7B1A8A5F">
            <wp:extent cx="6430645" cy="3397164"/>
            <wp:effectExtent l="0" t="0" r="825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506557" cy="3437266"/>
                    </a:xfrm>
                    <a:prstGeom prst="rect">
                      <a:avLst/>
                    </a:prstGeom>
                    <a:noFill/>
                  </pic:spPr>
                </pic:pic>
              </a:graphicData>
            </a:graphic>
          </wp:inline>
        </w:drawing>
      </w:r>
    </w:p>
    <w:p w14:paraId="6495FA93" w14:textId="430585D3" w:rsidR="00F916DB" w:rsidRPr="00D7198B" w:rsidRDefault="00871CFB" w:rsidP="007E5F38">
      <w:pPr>
        <w:rPr>
          <w:i/>
          <w:iCs/>
        </w:rPr>
      </w:pPr>
      <w:r>
        <w:rPr>
          <w:i/>
          <w:iCs/>
        </w:rPr>
        <w:t xml:space="preserve">Figure </w:t>
      </w:r>
      <w:r w:rsidR="00B47E2E">
        <w:rPr>
          <w:i/>
          <w:iCs/>
        </w:rPr>
        <w:t>4</w:t>
      </w:r>
      <w:r>
        <w:rPr>
          <w:i/>
          <w:iCs/>
        </w:rPr>
        <w:t xml:space="preserve">: </w:t>
      </w:r>
      <w:hyperlink r:id="rId32" w:history="1">
        <w:r w:rsidRPr="00E346F3">
          <w:rPr>
            <w:rStyle w:val="Hyperlink"/>
            <w:i/>
            <w:iCs/>
          </w:rPr>
          <w:t xml:space="preserve">Renewable </w:t>
        </w:r>
        <w:r w:rsidR="00E346F3" w:rsidRPr="00E346F3">
          <w:rPr>
            <w:rStyle w:val="Hyperlink"/>
            <w:i/>
            <w:iCs/>
          </w:rPr>
          <w:t>generation</w:t>
        </w:r>
      </w:hyperlink>
      <w:r w:rsidR="00E346F3">
        <w:rPr>
          <w:i/>
          <w:iCs/>
        </w:rPr>
        <w:t xml:space="preserve"> in</w:t>
      </w:r>
      <w:r w:rsidRPr="00871CFB">
        <w:rPr>
          <w:i/>
          <w:iCs/>
        </w:rPr>
        <w:t xml:space="preserve"> the </w:t>
      </w:r>
      <w:bookmarkStart w:id="1" w:name="_Hlk47361249"/>
      <w:r w:rsidRPr="00871CFB">
        <w:rPr>
          <w:i/>
          <w:iCs/>
        </w:rPr>
        <w:t>National Electricity</w:t>
      </w:r>
      <w:bookmarkEnd w:id="1"/>
      <w:r w:rsidR="00E346F3">
        <w:rPr>
          <w:i/>
          <w:iCs/>
        </w:rPr>
        <w:t xml:space="preserve"> Market</w:t>
      </w:r>
      <w:r w:rsidR="00451193">
        <w:rPr>
          <w:i/>
          <w:iCs/>
        </w:rPr>
        <w:t xml:space="preserve"> will pass 26% in 2020</w:t>
      </w:r>
    </w:p>
    <w:p w14:paraId="1A5920C7" w14:textId="77777777" w:rsidR="00DE3396" w:rsidRDefault="00DE3396" w:rsidP="007E5F38"/>
    <w:p w14:paraId="7B83F5D9" w14:textId="1BFD6EF2" w:rsidR="0081630D" w:rsidRPr="00F916DB" w:rsidRDefault="00F916DB" w:rsidP="007E5F38">
      <w:pPr>
        <w:rPr>
          <w:lang w:val="en-AU"/>
        </w:rPr>
      </w:pPr>
      <w:r>
        <w:t xml:space="preserve">Balancing high levels of variable PV and wind is </w:t>
      </w:r>
      <w:hyperlink r:id="rId33" w:history="1">
        <w:r w:rsidRPr="00D509F5">
          <w:rPr>
            <w:rStyle w:val="Hyperlink"/>
          </w:rPr>
          <w:t>straightforward</w:t>
        </w:r>
      </w:hyperlink>
      <w:r>
        <w:t xml:space="preserve"> using off-the-shelf techniques: stronger long distance transmission (to smooth out variable local weather), storage (</w:t>
      </w:r>
      <w:hyperlink r:id="rId34" w:history="1">
        <w:r w:rsidRPr="00BE152F">
          <w:rPr>
            <w:rStyle w:val="Hyperlink"/>
          </w:rPr>
          <w:t>pumped hydro</w:t>
        </w:r>
      </w:hyperlink>
      <w:r>
        <w:t xml:space="preserve"> and batteries) and demand management. These techniques are being deployed at Gigawatt scale to manage Australia’s rapidly increasing PV and wind but more needs to be done. </w:t>
      </w:r>
    </w:p>
    <w:p w14:paraId="47D39E06" w14:textId="1C6223B3" w:rsidR="001646B7" w:rsidRDefault="001646B7" w:rsidP="00757512"/>
    <w:p w14:paraId="7CE5AED6" w14:textId="426C8574" w:rsidR="00757512" w:rsidRDefault="00F017B1" w:rsidP="00757512">
      <w:pPr>
        <w:pStyle w:val="Heading2"/>
      </w:pPr>
      <w:r>
        <w:t xml:space="preserve">Falling </w:t>
      </w:r>
      <w:r w:rsidR="00757512">
        <w:t>Greenhouse emissions</w:t>
      </w:r>
      <w:r w:rsidR="00F304CB">
        <w:t xml:space="preserve"> </w:t>
      </w:r>
    </w:p>
    <w:p w14:paraId="59F3C4D2" w14:textId="639B6435" w:rsidR="00310CC5" w:rsidRDefault="009D6944" w:rsidP="00310CC5">
      <w:r>
        <w:t>The</w:t>
      </w:r>
      <w:r w:rsidR="00386B93" w:rsidRPr="009D6944">
        <w:t xml:space="preserve"> </w:t>
      </w:r>
      <w:hyperlink r:id="rId35" w:history="1">
        <w:r w:rsidR="00386B93" w:rsidRPr="009D6944">
          <w:rPr>
            <w:rStyle w:val="Hyperlink"/>
          </w:rPr>
          <w:t>National Greenhouse Gas Inventory</w:t>
        </w:r>
      </w:hyperlink>
      <w:r w:rsidR="00845761" w:rsidRPr="009D6944">
        <w:t xml:space="preserve"> shows tha</w:t>
      </w:r>
      <w:r w:rsidRPr="009D6944">
        <w:t xml:space="preserve">t </w:t>
      </w:r>
      <w:r w:rsidR="004839CD" w:rsidRPr="004839CD">
        <w:t>Australia’s overall Greenhouse emissions fell by 1.4% in the year to March 2020 (Figure 5).</w:t>
      </w:r>
      <w:r w:rsidR="004839CD">
        <w:t xml:space="preserve"> Emissions outside the electricity sector were static while </w:t>
      </w:r>
      <w:r w:rsidR="006A2AD8" w:rsidRPr="009D6944">
        <w:t xml:space="preserve">electricity sector </w:t>
      </w:r>
      <w:r w:rsidR="00EC65FF" w:rsidRPr="009D6944">
        <w:t xml:space="preserve">emissions </w:t>
      </w:r>
      <w:r w:rsidR="004839CD">
        <w:t xml:space="preserve">fell by 4%. </w:t>
      </w:r>
      <w:r w:rsidR="00310CC5">
        <w:t>Renewables are now providing as much electricity to the NEM as gas and brown coal combined.</w:t>
      </w:r>
    </w:p>
    <w:p w14:paraId="78FAF729" w14:textId="77D28DEB" w:rsidR="009120DB" w:rsidRDefault="009120DB" w:rsidP="00386B93"/>
    <w:p w14:paraId="627E41F7" w14:textId="296DEF3F" w:rsidR="009D6944" w:rsidRDefault="009D6944" w:rsidP="00386B93">
      <w:r>
        <w:rPr>
          <w:noProof/>
        </w:rPr>
        <w:lastRenderedPageBreak/>
        <mc:AlternateContent>
          <mc:Choice Requires="wps">
            <w:drawing>
              <wp:anchor distT="0" distB="0" distL="114300" distR="114300" simplePos="0" relativeHeight="251663360" behindDoc="0" locked="0" layoutInCell="1" allowOverlap="1" wp14:anchorId="79E0DB7A" wp14:editId="1257ED4E">
                <wp:simplePos x="0" y="0"/>
                <wp:positionH relativeFrom="margin">
                  <wp:posOffset>861060</wp:posOffset>
                </wp:positionH>
                <wp:positionV relativeFrom="paragraph">
                  <wp:posOffset>815340</wp:posOffset>
                </wp:positionV>
                <wp:extent cx="5189220" cy="0"/>
                <wp:effectExtent l="0" t="0" r="0" b="0"/>
                <wp:wrapNone/>
                <wp:docPr id="9" name="Straight Connector 6"/>
                <wp:cNvGraphicFramePr/>
                <a:graphic xmlns:a="http://schemas.openxmlformats.org/drawingml/2006/main">
                  <a:graphicData uri="http://schemas.microsoft.com/office/word/2010/wordprocessingShape">
                    <wps:wsp>
                      <wps:cNvCnPr/>
                      <wps:spPr bwMode="auto">
                        <a:xfrm>
                          <a:off x="0" y="0"/>
                          <a:ext cx="5189220" cy="0"/>
                        </a:xfrm>
                        <a:prstGeom prst="line">
                          <a:avLst/>
                        </a:prstGeom>
                        <a:solidFill>
                          <a:srgbClr xmlns:a14="http://schemas.microsoft.com/office/drawing/2010/main" val="FFFFFF" mc:Ignorable="a14" a14:legacySpreadsheetColorIndex="9"/>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57BA57C0"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8pt,64.2pt" to="476.4pt,6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" filled="t">
                <w10:wrap anchorx="margin"/>
              </v:line>
            </w:pict>
          </mc:Fallback>
        </mc:AlternateContent>
      </w:r>
      <w:r>
        <w:rPr>
          <w:noProof/>
        </w:rPr>
        <mc:AlternateContent>
          <mc:Choice Requires="wps">
            <w:drawing>
              <wp:anchor distT="0" distB="0" distL="114300" distR="114300" simplePos="0" relativeHeight="251661312" behindDoc="0" locked="0" layoutInCell="1" allowOverlap="1" wp14:anchorId="67FDD488" wp14:editId="65D67893">
                <wp:simplePos x="0" y="0"/>
                <wp:positionH relativeFrom="margin">
                  <wp:posOffset>853440</wp:posOffset>
                </wp:positionH>
                <wp:positionV relativeFrom="paragraph">
                  <wp:posOffset>2476500</wp:posOffset>
                </wp:positionV>
                <wp:extent cx="5196840" cy="7620"/>
                <wp:effectExtent l="0" t="0" r="22860" b="30480"/>
                <wp:wrapNone/>
                <wp:docPr id="8" name="Straight Connector 6"/>
                <wp:cNvGraphicFramePr/>
                <a:graphic xmlns:a="http://schemas.openxmlformats.org/drawingml/2006/main">
                  <a:graphicData uri="http://schemas.microsoft.com/office/word/2010/wordprocessingShape">
                    <wps:wsp>
                      <wps:cNvCnPr/>
                      <wps:spPr bwMode="auto">
                        <a:xfrm flipV="1">
                          <a:off x="0" y="0"/>
                          <a:ext cx="5196840" cy="7620"/>
                        </a:xfrm>
                        <a:prstGeom prst="line">
                          <a:avLst/>
                        </a:prstGeom>
                        <a:solidFill>
                          <a:srgbClr xmlns:a14="http://schemas.microsoft.com/office/drawing/2010/main" val="FFFFFF" mc:Ignorable="a14" a14:legacySpreadsheetColorIndex="9"/>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line w14:anchorId="5A15C129"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7.2pt,195pt" to="476.4pt,1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" filled="t">
                <w10:wrap anchorx="margin"/>
              </v:line>
            </w:pict>
          </mc:Fallback>
        </mc:AlternateContent>
      </w:r>
      <w:r>
        <w:rPr>
          <w:noProof/>
        </w:rPr>
        <w:drawing>
          <wp:inline distT="0" distB="0" distL="0" distR="0" wp14:anchorId="2B8F4F6B" wp14:editId="0DC43553">
            <wp:extent cx="6288405" cy="443934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298399" cy="4446404"/>
                    </a:xfrm>
                    <a:prstGeom prst="rect">
                      <a:avLst/>
                    </a:prstGeom>
                    <a:noFill/>
                  </pic:spPr>
                </pic:pic>
              </a:graphicData>
            </a:graphic>
          </wp:inline>
        </w:drawing>
      </w:r>
    </w:p>
    <w:p w14:paraId="6F922AAB" w14:textId="5006CC56" w:rsidR="00F017B1" w:rsidRDefault="008019F8" w:rsidP="00F657FD">
      <w:pPr>
        <w:rPr>
          <w:i/>
          <w:iCs/>
        </w:rPr>
      </w:pPr>
      <w:r w:rsidRPr="00871CFB">
        <w:rPr>
          <w:i/>
          <w:iCs/>
        </w:rPr>
        <w:t>Figure</w:t>
      </w:r>
      <w:r w:rsidR="00D7198B">
        <w:rPr>
          <w:i/>
          <w:iCs/>
        </w:rPr>
        <w:t xml:space="preserve"> </w:t>
      </w:r>
      <w:r w:rsidR="00B47E2E">
        <w:rPr>
          <w:i/>
          <w:iCs/>
        </w:rPr>
        <w:t>5</w:t>
      </w:r>
      <w:r w:rsidRPr="00871CFB">
        <w:rPr>
          <w:i/>
          <w:iCs/>
        </w:rPr>
        <w:t xml:space="preserve">: </w:t>
      </w:r>
      <w:r>
        <w:rPr>
          <w:i/>
          <w:iCs/>
        </w:rPr>
        <w:t xml:space="preserve">Australian </w:t>
      </w:r>
      <w:r w:rsidR="009120DB">
        <w:rPr>
          <w:i/>
          <w:iCs/>
        </w:rPr>
        <w:t xml:space="preserve">annual </w:t>
      </w:r>
      <w:r>
        <w:rPr>
          <w:i/>
          <w:iCs/>
        </w:rPr>
        <w:t>emissions</w:t>
      </w:r>
      <w:r w:rsidR="009120DB">
        <w:rPr>
          <w:i/>
          <w:iCs/>
        </w:rPr>
        <w:t xml:space="preserve"> to March 2020 from electricity</w:t>
      </w:r>
      <w:r w:rsidR="00386B93">
        <w:rPr>
          <w:i/>
          <w:iCs/>
        </w:rPr>
        <w:t xml:space="preserve"> (green bars)</w:t>
      </w:r>
      <w:r>
        <w:rPr>
          <w:i/>
          <w:iCs/>
        </w:rPr>
        <w:t xml:space="preserve"> </w:t>
      </w:r>
      <w:r w:rsidR="009120DB">
        <w:rPr>
          <w:i/>
          <w:iCs/>
        </w:rPr>
        <w:t>and the non-electricity (blue bars) sectors. Overall, Australian emissions fell by 1.4% in the most recent year.</w:t>
      </w:r>
    </w:p>
    <w:p w14:paraId="4326409E" w14:textId="77777777" w:rsidR="009120DB" w:rsidRDefault="009120DB" w:rsidP="009120DB"/>
    <w:p w14:paraId="5DC64E22" w14:textId="1BB05814" w:rsidR="005B5A96" w:rsidRDefault="005B5A96" w:rsidP="005B5A96">
      <w:r>
        <w:t xml:space="preserve">If new solar and wind energy systems continue to be deployed at a similar rate to 2019 and 2020 (6.3 Gigawatts per year), and if emissions in the non-electricity sectors grow at the slow rate </w:t>
      </w:r>
      <w:hyperlink r:id="rId37" w:history="1">
        <w:r w:rsidRPr="00C63B89">
          <w:rPr>
            <w:rStyle w:val="Hyperlink"/>
          </w:rPr>
          <w:t>predicted by the Federal Government</w:t>
        </w:r>
      </w:hyperlink>
      <w:r>
        <w:t xml:space="preserve">, </w:t>
      </w:r>
      <w:r w:rsidRPr="00E50E23">
        <w:t>then under this scenario</w:t>
      </w:r>
      <w:r>
        <w:t xml:space="preserve"> A</w:t>
      </w:r>
      <w:r w:rsidRPr="00586E12">
        <w:t xml:space="preserve">ustralia is </w:t>
      </w:r>
      <w:hyperlink r:id="rId38" w:history="1">
        <w:r w:rsidRPr="00E50E23">
          <w:rPr>
            <w:rStyle w:val="Hyperlink"/>
          </w:rPr>
          <w:t>tracking to achieve</w:t>
        </w:r>
      </w:hyperlink>
      <w:r w:rsidRPr="00586E12">
        <w:t xml:space="preserve"> its Paris emissions reduction target in 2030</w:t>
      </w:r>
      <w:r>
        <w:t>.</w:t>
      </w:r>
    </w:p>
    <w:p w14:paraId="0596D57C" w14:textId="10894247" w:rsidR="009120DB" w:rsidRDefault="009120DB" w:rsidP="009120DB">
      <w:r w:rsidRPr="009D6944">
        <w:t xml:space="preserve">Solar and wind offer deep emissions reductions at low cost as they out-compete fossil fuel generation in the electricity sector. </w:t>
      </w:r>
      <w:r>
        <w:t xml:space="preserve">In the longer term, renewable electrification of transport, heating and industry can displace all fossil fuels from the Australian economy and thereby </w:t>
      </w:r>
      <w:hyperlink r:id="rId39" w:history="1">
        <w:r w:rsidRPr="00586E12">
          <w:rPr>
            <w:rStyle w:val="Hyperlink"/>
          </w:rPr>
          <w:t>remove 85% of emissions</w:t>
        </w:r>
      </w:hyperlink>
      <w:r>
        <w:t>. To reach this target by 2050 we calculate that Australia needs to double the annual deployment rate to 12 Gigawatts per year during the 2020s. This is not so hard considering that Australia quintupled its deployment rate since 2014-16.</w:t>
      </w:r>
    </w:p>
    <w:p w14:paraId="7CC062E0" w14:textId="77777777" w:rsidR="009120DB" w:rsidRDefault="009120DB" w:rsidP="009120DB"/>
    <w:p w14:paraId="648137F1" w14:textId="49D119E6" w:rsidR="004202F4" w:rsidRDefault="0068139A" w:rsidP="006A7A7B">
      <w:pPr>
        <w:pStyle w:val="Heading2"/>
      </w:pPr>
      <w:r>
        <w:t>The future</w:t>
      </w:r>
    </w:p>
    <w:p w14:paraId="76C032EF" w14:textId="60451D64" w:rsidR="00CD3EAF" w:rsidRDefault="00CD3EAF" w:rsidP="00CD3EAF">
      <w:r>
        <w:t xml:space="preserve">Australia </w:t>
      </w:r>
      <w:r w:rsidR="00000679">
        <w:t>has made</w:t>
      </w:r>
      <w:r>
        <w:t xml:space="preserve"> immense contributions to global renewable energy and hence long-term climate action. This includes being the </w:t>
      </w:r>
      <w:r w:rsidR="005B1123">
        <w:t>fastest per capita installer of solar and wind</w:t>
      </w:r>
      <w:r>
        <w:t xml:space="preserve">, </w:t>
      </w:r>
      <w:r w:rsidR="005B1123">
        <w:t xml:space="preserve">Australia’s </w:t>
      </w:r>
      <w:r>
        <w:t>critical role in establishing the</w:t>
      </w:r>
      <w:r w:rsidR="006D76F0" w:rsidRPr="006D76F0">
        <w:t xml:space="preserve"> growth of </w:t>
      </w:r>
      <w:hyperlink r:id="rId40" w:history="1">
        <w:r w:rsidR="006D76F0" w:rsidRPr="006D76F0">
          <w:rPr>
            <w:rStyle w:val="Hyperlink"/>
          </w:rPr>
          <w:t>PV manufacturing in China</w:t>
        </w:r>
      </w:hyperlink>
      <w:r>
        <w:t xml:space="preserve"> and </w:t>
      </w:r>
      <w:r w:rsidR="00EC5C6D">
        <w:t xml:space="preserve">Australia’s invention </w:t>
      </w:r>
      <w:r>
        <w:t xml:space="preserve">of the </w:t>
      </w:r>
      <w:hyperlink r:id="rId41" w:history="1">
        <w:r w:rsidRPr="00B93057">
          <w:rPr>
            <w:rStyle w:val="Hyperlink"/>
          </w:rPr>
          <w:t xml:space="preserve">PERC </w:t>
        </w:r>
        <w:r w:rsidR="00B93057">
          <w:rPr>
            <w:rStyle w:val="Hyperlink"/>
          </w:rPr>
          <w:t xml:space="preserve">silicon </w:t>
        </w:r>
        <w:r w:rsidRPr="00B93057">
          <w:rPr>
            <w:rStyle w:val="Hyperlink"/>
          </w:rPr>
          <w:t>solar cell</w:t>
        </w:r>
      </w:hyperlink>
      <w:r>
        <w:t xml:space="preserve">. </w:t>
      </w:r>
      <w:r w:rsidR="00000679">
        <w:t xml:space="preserve">Indeed, </w:t>
      </w:r>
      <w:r>
        <w:t xml:space="preserve">PERC solar modules are being deployed faster than the net new </w:t>
      </w:r>
      <w:r w:rsidR="00F7675F">
        <w:t xml:space="preserve">generation </w:t>
      </w:r>
      <w:r>
        <w:t xml:space="preserve">capacity of coal, oil, gas and nuclear </w:t>
      </w:r>
      <w:r w:rsidR="00F7675F">
        <w:t>combined.</w:t>
      </w:r>
      <w:r>
        <w:t xml:space="preserve"> </w:t>
      </w:r>
    </w:p>
    <w:p w14:paraId="55ADBA29" w14:textId="5B6DBC2D" w:rsidR="00F017B1" w:rsidRPr="006A7A7B" w:rsidRDefault="00BB7DEC" w:rsidP="006A7A7B">
      <w:r>
        <w:lastRenderedPageBreak/>
        <w:t xml:space="preserve">The economics of PV and wind are compelling.  </w:t>
      </w:r>
      <w:r w:rsidR="006A7A7B">
        <w:t xml:space="preserve">Australia is demonstrating that rapid deployment of solar and wind </w:t>
      </w:r>
      <w:r w:rsidR="00EC5C6D">
        <w:t xml:space="preserve">can </w:t>
      </w:r>
      <w:r w:rsidR="006A7A7B">
        <w:t xml:space="preserve">lead to </w:t>
      </w:r>
      <w:r w:rsidR="00481822">
        <w:t xml:space="preserve">declining emissions </w:t>
      </w:r>
      <w:r w:rsidR="005B1123" w:rsidRPr="00F916DB">
        <w:rPr>
          <w:b/>
          <w:bCs/>
          <w:i/>
          <w:u w:val="single"/>
        </w:rPr>
        <w:t>and</w:t>
      </w:r>
      <w:r w:rsidR="005B1123">
        <w:rPr>
          <w:i/>
        </w:rPr>
        <w:t xml:space="preserve"> </w:t>
      </w:r>
      <w:r w:rsidR="00CD3EAF">
        <w:t>low</w:t>
      </w:r>
      <w:r w:rsidR="00481822">
        <w:t xml:space="preserve"> electricity prices.</w:t>
      </w:r>
      <w:r w:rsidR="002B4CB3">
        <w:t xml:space="preserve"> Now </w:t>
      </w:r>
      <w:r w:rsidR="005B1123">
        <w:t xml:space="preserve">is the time to plan ahead </w:t>
      </w:r>
      <w:r w:rsidR="00EC5C6D">
        <w:t>to</w:t>
      </w:r>
      <w:r w:rsidR="005B1123">
        <w:t xml:space="preserve"> accelerate</w:t>
      </w:r>
      <w:r w:rsidR="00EC5C6D">
        <w:t xml:space="preserve"> renewable deployment and</w:t>
      </w:r>
      <w:r w:rsidR="005B1123">
        <w:t xml:space="preserve"> </w:t>
      </w:r>
      <w:r w:rsidR="00704C57">
        <w:t>decarbonize the entire economy</w:t>
      </w:r>
      <w:r w:rsidR="00CD3EAF">
        <w:t xml:space="preserve">. </w:t>
      </w:r>
    </w:p>
    <w:sectPr w:rsidR="00F017B1" w:rsidRPr="006A7A7B" w:rsidSect="00346C9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Arial"/>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A2600"/>
    <w:multiLevelType w:val="hybridMultilevel"/>
    <w:tmpl w:val="204A26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DB7B12"/>
    <w:multiLevelType w:val="hybridMultilevel"/>
    <w:tmpl w:val="43046F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04F2E58"/>
    <w:multiLevelType w:val="hybridMultilevel"/>
    <w:tmpl w:val="4004571E"/>
    <w:lvl w:ilvl="0" w:tplc="0409000F">
      <w:start w:val="1"/>
      <w:numFmt w:val="decimal"/>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0A2F66"/>
    <w:multiLevelType w:val="hybridMultilevel"/>
    <w:tmpl w:val="0BD0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FF30FD"/>
    <w:multiLevelType w:val="hybridMultilevel"/>
    <w:tmpl w:val="7DFE17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AE5789C"/>
    <w:multiLevelType w:val="hybridMultilevel"/>
    <w:tmpl w:val="78CE0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C2B5409"/>
    <w:multiLevelType w:val="hybridMultilevel"/>
    <w:tmpl w:val="23885D64"/>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7" w15:restartNumberingAfterBreak="0">
    <w:nsid w:val="59753804"/>
    <w:multiLevelType w:val="hybridMultilevel"/>
    <w:tmpl w:val="A242420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5C446EDE"/>
    <w:multiLevelType w:val="hybridMultilevel"/>
    <w:tmpl w:val="EE9C78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183233"/>
    <w:multiLevelType w:val="hybridMultilevel"/>
    <w:tmpl w:val="204A26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AC837AA"/>
    <w:multiLevelType w:val="hybridMultilevel"/>
    <w:tmpl w:val="6CD6C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D13C3F"/>
    <w:multiLevelType w:val="hybridMultilevel"/>
    <w:tmpl w:val="4BF8F49A"/>
    <w:lvl w:ilvl="0" w:tplc="17EE5EE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0"/>
  </w:num>
  <w:num w:numId="4">
    <w:abstractNumId w:val="2"/>
  </w:num>
  <w:num w:numId="5">
    <w:abstractNumId w:val="3"/>
  </w:num>
  <w:num w:numId="6">
    <w:abstractNumId w:val="8"/>
  </w:num>
  <w:num w:numId="7">
    <w:abstractNumId w:val="1"/>
  </w:num>
  <w:num w:numId="8">
    <w:abstractNumId w:val="9"/>
  </w:num>
  <w:num w:numId="9">
    <w:abstractNumId w:val="0"/>
  </w:num>
  <w:num w:numId="10">
    <w:abstractNumId w:val="5"/>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BEC"/>
    <w:rsid w:val="00000679"/>
    <w:rsid w:val="00004203"/>
    <w:rsid w:val="00011F63"/>
    <w:rsid w:val="000202C7"/>
    <w:rsid w:val="00021127"/>
    <w:rsid w:val="00052491"/>
    <w:rsid w:val="00054FCC"/>
    <w:rsid w:val="00060C51"/>
    <w:rsid w:val="000903BE"/>
    <w:rsid w:val="000A78EB"/>
    <w:rsid w:val="000D5CDF"/>
    <w:rsid w:val="000F681F"/>
    <w:rsid w:val="00107B99"/>
    <w:rsid w:val="0012150A"/>
    <w:rsid w:val="001216B9"/>
    <w:rsid w:val="00124E40"/>
    <w:rsid w:val="001646B7"/>
    <w:rsid w:val="00164FDD"/>
    <w:rsid w:val="001714D8"/>
    <w:rsid w:val="0017290C"/>
    <w:rsid w:val="00177E6A"/>
    <w:rsid w:val="00182CCB"/>
    <w:rsid w:val="001A54DE"/>
    <w:rsid w:val="001A7603"/>
    <w:rsid w:val="001B08BE"/>
    <w:rsid w:val="001B1E16"/>
    <w:rsid w:val="001B76AA"/>
    <w:rsid w:val="001C29EF"/>
    <w:rsid w:val="001D5B47"/>
    <w:rsid w:val="001F6EF1"/>
    <w:rsid w:val="00206F88"/>
    <w:rsid w:val="002177CE"/>
    <w:rsid w:val="00221858"/>
    <w:rsid w:val="00222840"/>
    <w:rsid w:val="00226DBC"/>
    <w:rsid w:val="00236269"/>
    <w:rsid w:val="0027319F"/>
    <w:rsid w:val="00277A90"/>
    <w:rsid w:val="00297744"/>
    <w:rsid w:val="002B4CB3"/>
    <w:rsid w:val="002C3BAB"/>
    <w:rsid w:val="002C4E9F"/>
    <w:rsid w:val="002C6E07"/>
    <w:rsid w:val="002E3AB6"/>
    <w:rsid w:val="0030062D"/>
    <w:rsid w:val="00300C76"/>
    <w:rsid w:val="00310CC5"/>
    <w:rsid w:val="00317A1C"/>
    <w:rsid w:val="003354A5"/>
    <w:rsid w:val="00346C96"/>
    <w:rsid w:val="00352F63"/>
    <w:rsid w:val="003659EC"/>
    <w:rsid w:val="00372553"/>
    <w:rsid w:val="00373A73"/>
    <w:rsid w:val="00386B93"/>
    <w:rsid w:val="003A5EB5"/>
    <w:rsid w:val="003B0C2F"/>
    <w:rsid w:val="003C5C77"/>
    <w:rsid w:val="003D28F0"/>
    <w:rsid w:val="003E5654"/>
    <w:rsid w:val="00400CE3"/>
    <w:rsid w:val="00402767"/>
    <w:rsid w:val="004202F4"/>
    <w:rsid w:val="00421FA8"/>
    <w:rsid w:val="00425979"/>
    <w:rsid w:val="00427778"/>
    <w:rsid w:val="00430BEA"/>
    <w:rsid w:val="004352B4"/>
    <w:rsid w:val="00451193"/>
    <w:rsid w:val="0045405F"/>
    <w:rsid w:val="00475015"/>
    <w:rsid w:val="00481822"/>
    <w:rsid w:val="004839CD"/>
    <w:rsid w:val="00483E61"/>
    <w:rsid w:val="0049788F"/>
    <w:rsid w:val="00497DA0"/>
    <w:rsid w:val="004A225A"/>
    <w:rsid w:val="004B2B04"/>
    <w:rsid w:val="004B706D"/>
    <w:rsid w:val="004B7F57"/>
    <w:rsid w:val="004D152F"/>
    <w:rsid w:val="004E20DC"/>
    <w:rsid w:val="004E3DF0"/>
    <w:rsid w:val="004E475F"/>
    <w:rsid w:val="00502603"/>
    <w:rsid w:val="00521E9D"/>
    <w:rsid w:val="005331F4"/>
    <w:rsid w:val="00557090"/>
    <w:rsid w:val="005654BC"/>
    <w:rsid w:val="0057102B"/>
    <w:rsid w:val="005729ED"/>
    <w:rsid w:val="005769A3"/>
    <w:rsid w:val="0058393F"/>
    <w:rsid w:val="00586835"/>
    <w:rsid w:val="00586E12"/>
    <w:rsid w:val="005945CC"/>
    <w:rsid w:val="005A6563"/>
    <w:rsid w:val="005B1123"/>
    <w:rsid w:val="005B2B3C"/>
    <w:rsid w:val="005B5A96"/>
    <w:rsid w:val="005C4579"/>
    <w:rsid w:val="005E0DFC"/>
    <w:rsid w:val="005F76BC"/>
    <w:rsid w:val="00605EAC"/>
    <w:rsid w:val="00615B99"/>
    <w:rsid w:val="00620E04"/>
    <w:rsid w:val="0062424B"/>
    <w:rsid w:val="00627DAD"/>
    <w:rsid w:val="00641C79"/>
    <w:rsid w:val="00647440"/>
    <w:rsid w:val="006504D9"/>
    <w:rsid w:val="00652093"/>
    <w:rsid w:val="006704C1"/>
    <w:rsid w:val="0068139A"/>
    <w:rsid w:val="00684383"/>
    <w:rsid w:val="00685471"/>
    <w:rsid w:val="00695FEE"/>
    <w:rsid w:val="00696849"/>
    <w:rsid w:val="00697538"/>
    <w:rsid w:val="006A2AD8"/>
    <w:rsid w:val="006A7A7B"/>
    <w:rsid w:val="006C15A8"/>
    <w:rsid w:val="006D76F0"/>
    <w:rsid w:val="006E0DBC"/>
    <w:rsid w:val="006F51F4"/>
    <w:rsid w:val="006F65DE"/>
    <w:rsid w:val="00704C57"/>
    <w:rsid w:val="00723EE8"/>
    <w:rsid w:val="0072413F"/>
    <w:rsid w:val="007267C4"/>
    <w:rsid w:val="00737C4A"/>
    <w:rsid w:val="007510F7"/>
    <w:rsid w:val="00755166"/>
    <w:rsid w:val="00757512"/>
    <w:rsid w:val="007674D8"/>
    <w:rsid w:val="00785BA9"/>
    <w:rsid w:val="00786B35"/>
    <w:rsid w:val="00793AE9"/>
    <w:rsid w:val="00794E9D"/>
    <w:rsid w:val="007A1156"/>
    <w:rsid w:val="007A3974"/>
    <w:rsid w:val="007A5BEC"/>
    <w:rsid w:val="007B43E1"/>
    <w:rsid w:val="007B6E68"/>
    <w:rsid w:val="007C47BF"/>
    <w:rsid w:val="007D09D6"/>
    <w:rsid w:val="007D7433"/>
    <w:rsid w:val="007E5F38"/>
    <w:rsid w:val="008019F8"/>
    <w:rsid w:val="00810973"/>
    <w:rsid w:val="0081630D"/>
    <w:rsid w:val="00845761"/>
    <w:rsid w:val="00871CFB"/>
    <w:rsid w:val="00872AEC"/>
    <w:rsid w:val="008736DC"/>
    <w:rsid w:val="008763FB"/>
    <w:rsid w:val="00880101"/>
    <w:rsid w:val="008B00B2"/>
    <w:rsid w:val="008B270E"/>
    <w:rsid w:val="008B7746"/>
    <w:rsid w:val="008D2939"/>
    <w:rsid w:val="00905A03"/>
    <w:rsid w:val="009120DB"/>
    <w:rsid w:val="00931063"/>
    <w:rsid w:val="00936B42"/>
    <w:rsid w:val="009516B1"/>
    <w:rsid w:val="00954BF3"/>
    <w:rsid w:val="00955FE7"/>
    <w:rsid w:val="00961C1C"/>
    <w:rsid w:val="00972414"/>
    <w:rsid w:val="0098023A"/>
    <w:rsid w:val="009A191F"/>
    <w:rsid w:val="009A478C"/>
    <w:rsid w:val="009D6944"/>
    <w:rsid w:val="009E1C67"/>
    <w:rsid w:val="009F4C2A"/>
    <w:rsid w:val="00A13700"/>
    <w:rsid w:val="00A1781C"/>
    <w:rsid w:val="00A21496"/>
    <w:rsid w:val="00A570F6"/>
    <w:rsid w:val="00A757D6"/>
    <w:rsid w:val="00A96181"/>
    <w:rsid w:val="00AB1D62"/>
    <w:rsid w:val="00AC5F1B"/>
    <w:rsid w:val="00AD0DC6"/>
    <w:rsid w:val="00AE1383"/>
    <w:rsid w:val="00AE21A8"/>
    <w:rsid w:val="00AE4044"/>
    <w:rsid w:val="00AF098F"/>
    <w:rsid w:val="00AF6843"/>
    <w:rsid w:val="00AF786C"/>
    <w:rsid w:val="00B3657B"/>
    <w:rsid w:val="00B36AE3"/>
    <w:rsid w:val="00B4638F"/>
    <w:rsid w:val="00B47E2E"/>
    <w:rsid w:val="00B639E3"/>
    <w:rsid w:val="00B7151E"/>
    <w:rsid w:val="00B93057"/>
    <w:rsid w:val="00BA538C"/>
    <w:rsid w:val="00BB7DEC"/>
    <w:rsid w:val="00BD0453"/>
    <w:rsid w:val="00BD2E04"/>
    <w:rsid w:val="00BE09EF"/>
    <w:rsid w:val="00BE152F"/>
    <w:rsid w:val="00BF1393"/>
    <w:rsid w:val="00C06E71"/>
    <w:rsid w:val="00C119DB"/>
    <w:rsid w:val="00C15195"/>
    <w:rsid w:val="00C15769"/>
    <w:rsid w:val="00C2589F"/>
    <w:rsid w:val="00C312B6"/>
    <w:rsid w:val="00C34F29"/>
    <w:rsid w:val="00C34F88"/>
    <w:rsid w:val="00C3728F"/>
    <w:rsid w:val="00C43906"/>
    <w:rsid w:val="00C5067E"/>
    <w:rsid w:val="00C629C1"/>
    <w:rsid w:val="00C63B89"/>
    <w:rsid w:val="00C65AD9"/>
    <w:rsid w:val="00C7513B"/>
    <w:rsid w:val="00C9135E"/>
    <w:rsid w:val="00C96E5C"/>
    <w:rsid w:val="00CB4F01"/>
    <w:rsid w:val="00CD1696"/>
    <w:rsid w:val="00CD3EAF"/>
    <w:rsid w:val="00CE5C0C"/>
    <w:rsid w:val="00CF006B"/>
    <w:rsid w:val="00D03B87"/>
    <w:rsid w:val="00D06754"/>
    <w:rsid w:val="00D14F4E"/>
    <w:rsid w:val="00D27A44"/>
    <w:rsid w:val="00D40BD4"/>
    <w:rsid w:val="00D447C9"/>
    <w:rsid w:val="00D509F5"/>
    <w:rsid w:val="00D55475"/>
    <w:rsid w:val="00D65F41"/>
    <w:rsid w:val="00D7198B"/>
    <w:rsid w:val="00D74445"/>
    <w:rsid w:val="00D9134C"/>
    <w:rsid w:val="00DA22F2"/>
    <w:rsid w:val="00DA34F7"/>
    <w:rsid w:val="00DB6586"/>
    <w:rsid w:val="00DE3396"/>
    <w:rsid w:val="00E04C14"/>
    <w:rsid w:val="00E136D4"/>
    <w:rsid w:val="00E30FCD"/>
    <w:rsid w:val="00E346F3"/>
    <w:rsid w:val="00E36289"/>
    <w:rsid w:val="00E50E23"/>
    <w:rsid w:val="00E51C89"/>
    <w:rsid w:val="00E539A6"/>
    <w:rsid w:val="00E54FB7"/>
    <w:rsid w:val="00E55A2B"/>
    <w:rsid w:val="00E726CC"/>
    <w:rsid w:val="00E77480"/>
    <w:rsid w:val="00E86E76"/>
    <w:rsid w:val="00E87C64"/>
    <w:rsid w:val="00EA537D"/>
    <w:rsid w:val="00EC5C6D"/>
    <w:rsid w:val="00EC65FF"/>
    <w:rsid w:val="00EE0A37"/>
    <w:rsid w:val="00EE47B1"/>
    <w:rsid w:val="00EF7B37"/>
    <w:rsid w:val="00F017B1"/>
    <w:rsid w:val="00F02851"/>
    <w:rsid w:val="00F12BF8"/>
    <w:rsid w:val="00F2252F"/>
    <w:rsid w:val="00F304CB"/>
    <w:rsid w:val="00F31007"/>
    <w:rsid w:val="00F64836"/>
    <w:rsid w:val="00F65629"/>
    <w:rsid w:val="00F657FD"/>
    <w:rsid w:val="00F729C6"/>
    <w:rsid w:val="00F735C4"/>
    <w:rsid w:val="00F7675F"/>
    <w:rsid w:val="00F86EF9"/>
    <w:rsid w:val="00F91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D04CE"/>
  <w15:chartTrackingRefBased/>
  <w15:docId w15:val="{E1431697-CB25-4C1C-B67B-13EE04D4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767"/>
    <w:pPr>
      <w:spacing w:before="60" w:after="60"/>
    </w:pPr>
  </w:style>
  <w:style w:type="paragraph" w:styleId="Heading1">
    <w:name w:val="heading 1"/>
    <w:basedOn w:val="Normal"/>
    <w:next w:val="Normal"/>
    <w:link w:val="Heading1Char"/>
    <w:uiPriority w:val="9"/>
    <w:qFormat/>
    <w:rsid w:val="00317A1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354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A1C"/>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317A1C"/>
    <w:rPr>
      <w:color w:val="0563C1" w:themeColor="hyperlink"/>
      <w:u w:val="single"/>
    </w:rPr>
  </w:style>
  <w:style w:type="character" w:styleId="UnresolvedMention">
    <w:name w:val="Unresolved Mention"/>
    <w:basedOn w:val="DefaultParagraphFont"/>
    <w:uiPriority w:val="99"/>
    <w:semiHidden/>
    <w:unhideWhenUsed/>
    <w:rsid w:val="00317A1C"/>
    <w:rPr>
      <w:color w:val="605E5C"/>
      <w:shd w:val="clear" w:color="auto" w:fill="E1DFDD"/>
    </w:rPr>
  </w:style>
  <w:style w:type="character" w:customStyle="1" w:styleId="Heading2Char">
    <w:name w:val="Heading 2 Char"/>
    <w:basedOn w:val="DefaultParagraphFont"/>
    <w:link w:val="Heading2"/>
    <w:uiPriority w:val="9"/>
    <w:rsid w:val="003354A5"/>
    <w:rPr>
      <w:rFonts w:asciiTheme="majorHAnsi" w:eastAsiaTheme="majorEastAsia" w:hAnsiTheme="majorHAnsi" w:cstheme="majorBidi"/>
      <w:color w:val="2F5496" w:themeColor="accent1" w:themeShade="BF"/>
      <w:sz w:val="26"/>
      <w:szCs w:val="26"/>
    </w:rPr>
  </w:style>
  <w:style w:type="character" w:styleId="FollowedHyperlink">
    <w:name w:val="FollowedHyperlink"/>
    <w:basedOn w:val="DefaultParagraphFont"/>
    <w:uiPriority w:val="99"/>
    <w:semiHidden/>
    <w:unhideWhenUsed/>
    <w:rsid w:val="000F681F"/>
    <w:rPr>
      <w:color w:val="954F72" w:themeColor="followedHyperlink"/>
      <w:u w:val="single"/>
    </w:rPr>
  </w:style>
  <w:style w:type="paragraph" w:styleId="BalloonText">
    <w:name w:val="Balloon Text"/>
    <w:basedOn w:val="Normal"/>
    <w:link w:val="BalloonTextChar"/>
    <w:uiPriority w:val="99"/>
    <w:semiHidden/>
    <w:unhideWhenUsed/>
    <w:rsid w:val="00615B9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B99"/>
    <w:rPr>
      <w:rFonts w:ascii="Segoe UI" w:hAnsi="Segoe UI" w:cs="Segoe UI"/>
      <w:sz w:val="18"/>
      <w:szCs w:val="18"/>
    </w:rPr>
  </w:style>
  <w:style w:type="character" w:styleId="CommentReference">
    <w:name w:val="annotation reference"/>
    <w:basedOn w:val="DefaultParagraphFont"/>
    <w:uiPriority w:val="99"/>
    <w:semiHidden/>
    <w:unhideWhenUsed/>
    <w:rsid w:val="001C29EF"/>
    <w:rPr>
      <w:sz w:val="16"/>
      <w:szCs w:val="16"/>
    </w:rPr>
  </w:style>
  <w:style w:type="paragraph" w:styleId="CommentText">
    <w:name w:val="annotation text"/>
    <w:basedOn w:val="Normal"/>
    <w:link w:val="CommentTextChar"/>
    <w:uiPriority w:val="99"/>
    <w:unhideWhenUsed/>
    <w:rsid w:val="001C29EF"/>
    <w:pPr>
      <w:spacing w:line="240" w:lineRule="auto"/>
    </w:pPr>
    <w:rPr>
      <w:sz w:val="20"/>
      <w:szCs w:val="20"/>
    </w:rPr>
  </w:style>
  <w:style w:type="character" w:customStyle="1" w:styleId="CommentTextChar">
    <w:name w:val="Comment Text Char"/>
    <w:basedOn w:val="DefaultParagraphFont"/>
    <w:link w:val="CommentText"/>
    <w:uiPriority w:val="99"/>
    <w:rsid w:val="001C29EF"/>
    <w:rPr>
      <w:sz w:val="20"/>
      <w:szCs w:val="20"/>
    </w:rPr>
  </w:style>
  <w:style w:type="paragraph" w:styleId="CommentSubject">
    <w:name w:val="annotation subject"/>
    <w:basedOn w:val="CommentText"/>
    <w:next w:val="CommentText"/>
    <w:link w:val="CommentSubjectChar"/>
    <w:uiPriority w:val="99"/>
    <w:semiHidden/>
    <w:unhideWhenUsed/>
    <w:rsid w:val="001C29EF"/>
    <w:rPr>
      <w:b/>
      <w:bCs/>
    </w:rPr>
  </w:style>
  <w:style w:type="character" w:customStyle="1" w:styleId="CommentSubjectChar">
    <w:name w:val="Comment Subject Char"/>
    <w:basedOn w:val="CommentTextChar"/>
    <w:link w:val="CommentSubject"/>
    <w:uiPriority w:val="99"/>
    <w:semiHidden/>
    <w:rsid w:val="001C29EF"/>
    <w:rPr>
      <w:b/>
      <w:bCs/>
      <w:sz w:val="20"/>
      <w:szCs w:val="20"/>
    </w:rPr>
  </w:style>
  <w:style w:type="paragraph" w:styleId="ListParagraph">
    <w:name w:val="List Paragraph"/>
    <w:basedOn w:val="Normal"/>
    <w:uiPriority w:val="34"/>
    <w:qFormat/>
    <w:rsid w:val="00931063"/>
    <w:pPr>
      <w:ind w:left="720"/>
      <w:contextualSpacing/>
    </w:pPr>
  </w:style>
  <w:style w:type="paragraph" w:styleId="Title">
    <w:name w:val="Title"/>
    <w:basedOn w:val="Normal"/>
    <w:next w:val="Normal"/>
    <w:link w:val="TitleChar"/>
    <w:uiPriority w:val="10"/>
    <w:qFormat/>
    <w:rsid w:val="00CE5C0C"/>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5C0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eeexplore.ieee.org/document/8836526" TargetMode="External"/><Relationship Id="rId18" Type="http://schemas.openxmlformats.org/officeDocument/2006/relationships/hyperlink" Target="https://ieeexplore.ieee.org/document/8836526" TargetMode="External"/><Relationship Id="rId26" Type="http://schemas.openxmlformats.org/officeDocument/2006/relationships/hyperlink" Target="https://energy.nsw.gov.au/renewables/renewable-energy-zones" TargetMode="External"/><Relationship Id="rId39" Type="http://schemas.openxmlformats.org/officeDocument/2006/relationships/hyperlink" Target="http://arxiv.org/abs/2007.09586" TargetMode="External"/><Relationship Id="rId21" Type="http://schemas.openxmlformats.org/officeDocument/2006/relationships/hyperlink" Target="https://opennem.org.au/energy/sa1/" TargetMode="External"/><Relationship Id="rId34" Type="http://schemas.openxmlformats.org/officeDocument/2006/relationships/hyperlink" Target="http://re100.eng.anu.edu.au/global/index.php" TargetMode="External"/><Relationship Id="rId42" Type="http://schemas.openxmlformats.org/officeDocument/2006/relationships/fontTable" Target="fontTable.xml"/><Relationship Id="rId7" Type="http://schemas.openxmlformats.org/officeDocument/2006/relationships/hyperlink" Target="mailto:kenneth.baldwin@anu.edu.au"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yperlink" Target="https://www.irena.org/Statistics" TargetMode="External"/><Relationship Id="rId29" Type="http://schemas.openxmlformats.org/officeDocument/2006/relationships/hyperlink" Target="https://opennem.org.au/energy/nem/" TargetMode="External"/><Relationship Id="rId41" Type="http://schemas.openxmlformats.org/officeDocument/2006/relationships/hyperlink" Target="http://theconversation.com/how-an-aussie-invention-could-soon-cut-5-of-the-worlds-greenhouse-gas-emissions-121571" TargetMode="External"/><Relationship Id="rId1" Type="http://schemas.openxmlformats.org/officeDocument/2006/relationships/customXml" Target="../customXml/item1.xml"/><Relationship Id="rId6" Type="http://schemas.openxmlformats.org/officeDocument/2006/relationships/hyperlink" Target="mailto:Andrew.blakers@anu.edu.au" TargetMode="External"/><Relationship Id="rId11" Type="http://schemas.openxmlformats.org/officeDocument/2006/relationships/hyperlink" Target="https://opennem.org.au/energy/nem/" TargetMode="External"/><Relationship Id="rId24" Type="http://schemas.openxmlformats.org/officeDocument/2006/relationships/hyperlink" Target="http://www.cleanenergyregulator.gov.au/About/Pages/News%20and%20updates/NewsItem.aspx?ListId=19b4efbb-6f5d-4637-94c4-121c1f96fcfe&amp;ItemId=832" TargetMode="External"/><Relationship Id="rId32" Type="http://schemas.openxmlformats.org/officeDocument/2006/relationships/hyperlink" Target="https://opennem.org.au/energy/nem/" TargetMode="External"/><Relationship Id="rId37" Type="http://schemas.openxmlformats.org/officeDocument/2006/relationships/hyperlink" Target="https://www.industry.gov.au/data-and-publications/australias-emissions-projections-2019" TargetMode="External"/><Relationship Id="rId40" Type="http://schemas.openxmlformats.org/officeDocument/2006/relationships/hyperlink" Target="http://www2.pv.unsw.edu.au/martin-green-key-pv-publications/%5B7%5DRevisiting-the-history-books.pdf" TargetMode="External"/><Relationship Id="rId5" Type="http://schemas.openxmlformats.org/officeDocument/2006/relationships/webSettings" Target="webSettings.xml"/><Relationship Id="rId15" Type="http://schemas.openxmlformats.org/officeDocument/2006/relationships/hyperlink" Target="https://reneweconomy.com.au/technology-leaps-driving-cost-of-solar-pv-electricity-in-australia-to-just-a30-mwh-42052/" TargetMode="External"/><Relationship Id="rId23" Type="http://schemas.openxmlformats.org/officeDocument/2006/relationships/hyperlink" Target="https://opennem.org.au/energy/sa1/" TargetMode="External"/><Relationship Id="rId28" Type="http://schemas.openxmlformats.org/officeDocument/2006/relationships/hyperlink" Target="https://www.abs.gov.au/ausstats/abs@.nsf/mf/4631.0?OpenDocument" TargetMode="External"/><Relationship Id="rId36" Type="http://schemas.openxmlformats.org/officeDocument/2006/relationships/image" Target="media/image5.png"/><Relationship Id="rId10" Type="http://schemas.openxmlformats.org/officeDocument/2006/relationships/hyperlink" Target="https://theconversation.com/australia-is-the-runaway-global-leader-in-building-new-renewable-energy-123694" TargetMode="External"/><Relationship Id="rId19" Type="http://schemas.openxmlformats.org/officeDocument/2006/relationships/image" Target="media/image2.png"/><Relationship Id="rId31"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cleanenergyregulator.gov.au/About/Pages/News%20and%20updates/NewsItem.aspx?ListId=19b4efbb-6f5d-4637-94c4-121c1f96fcfe&amp;ItemId=832" TargetMode="External"/><Relationship Id="rId14" Type="http://schemas.openxmlformats.org/officeDocument/2006/relationships/hyperlink" Target="https://theconversation.com/really-australia-its-not-that-hard-10-reasons-why-renewable-energy-is-the-future-130459" TargetMode="External"/><Relationship Id="rId22" Type="http://schemas.openxmlformats.org/officeDocument/2006/relationships/image" Target="media/image3.png"/><Relationship Id="rId27" Type="http://schemas.openxmlformats.org/officeDocument/2006/relationships/hyperlink" Target="https://aemo.com.au/en/energy-systems/major-publications/integrated-system-plan-isp/2020-integrated-system-plan-isp" TargetMode="External"/><Relationship Id="rId30" Type="http://schemas.openxmlformats.org/officeDocument/2006/relationships/hyperlink" Target="https://reneweconomy.com.au/technology-leaps-driving-cost-of-solar-pv-electricity-in-australia-to-just-a30-mwh-42052/" TargetMode="External"/><Relationship Id="rId35" Type="http://schemas.openxmlformats.org/officeDocument/2006/relationships/hyperlink" Target="https://www.industry.gov.au/data-and-publications/national-greenhouse-gas-inventory-quarterly-updates" TargetMode="External"/><Relationship Id="rId43" Type="http://schemas.openxmlformats.org/officeDocument/2006/relationships/theme" Target="theme/theme1.xml"/><Relationship Id="rId8" Type="http://schemas.openxmlformats.org/officeDocument/2006/relationships/hyperlink" Target="mailto:matthew.stocks@anu.edu.au" TargetMode="External"/><Relationship Id="rId3" Type="http://schemas.openxmlformats.org/officeDocument/2006/relationships/styles" Target="styles.xml"/><Relationship Id="rId12" Type="http://schemas.openxmlformats.org/officeDocument/2006/relationships/hyperlink" Target="https://opennem.org.au/energy/nem/" TargetMode="External"/><Relationship Id="rId17" Type="http://schemas.openxmlformats.org/officeDocument/2006/relationships/hyperlink" Target="https://www.irena.org/Statistics" TargetMode="External"/><Relationship Id="rId25" Type="http://schemas.openxmlformats.org/officeDocument/2006/relationships/hyperlink" Target="http://www.cleanenergyregulator.gov.au/RET/About-the-Renewable-Energy-Target" TargetMode="External"/><Relationship Id="rId33" Type="http://schemas.openxmlformats.org/officeDocument/2006/relationships/hyperlink" Target="http://www.sciencedirect.com/science/article/pii/S0360544217309568" TargetMode="External"/><Relationship Id="rId38" Type="http://schemas.openxmlformats.org/officeDocument/2006/relationships/hyperlink" Target="https://www.dropbox.com/s/u01ov02fkyio7wt/Paris.docx?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40199-B5E0-5A43-8968-EA122C826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Blakers</dc:creator>
  <cp:keywords/>
  <dc:description/>
  <cp:lastModifiedBy>Andrew Blakers</cp:lastModifiedBy>
  <cp:revision>18</cp:revision>
  <dcterms:created xsi:type="dcterms:W3CDTF">2020-08-28T05:57:00Z</dcterms:created>
  <dcterms:modified xsi:type="dcterms:W3CDTF">2020-10-01T20:10:00Z</dcterms:modified>
</cp:coreProperties>
</file>